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580"/>
        <w:gridCol w:w="2239"/>
        <w:gridCol w:w="3468"/>
      </w:tblGrid>
      <w:tr w:rsidR="00883AAE">
        <w:trPr>
          <w:trHeight w:val="416"/>
          <w:tblHeader/>
        </w:trPr>
        <w:tc>
          <w:tcPr>
            <w:tcW w:w="1985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bookmarkStart w:id="0" w:name="_GoBack"/>
            <w:bookmarkEnd w:id="0"/>
            <w:r>
              <w:t>Focus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  <w:jc w:val="left"/>
            </w:pPr>
            <w:r>
              <w:t>Barriers to learning</w:t>
            </w:r>
            <w:r>
              <w:tab/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Desired outcomes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Success Criteria</w:t>
            </w:r>
          </w:p>
        </w:tc>
        <w:tc>
          <w:tcPr>
            <w:tcW w:w="2239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Chosen Strategies</w:t>
            </w:r>
          </w:p>
        </w:tc>
        <w:tc>
          <w:tcPr>
            <w:tcW w:w="3468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Evaluation of impact</w:t>
            </w:r>
          </w:p>
        </w:tc>
      </w:tr>
      <w:tr w:rsidR="00883AAE">
        <w:trPr>
          <w:trHeight w:val="1018"/>
          <w:tblHeader/>
        </w:trPr>
        <w:tc>
          <w:tcPr>
            <w:tcW w:w="1985" w:type="dxa"/>
          </w:tcPr>
          <w:p w:rsidR="00883AAE" w:rsidRDefault="00B21BE0">
            <w:pPr>
              <w:pStyle w:val="TableRow"/>
            </w:pPr>
            <w:r>
              <w:t>Improving reading levels for disadvantaged pupils</w:t>
            </w:r>
          </w:p>
        </w:tc>
        <w:tc>
          <w:tcPr>
            <w:tcW w:w="2126" w:type="dxa"/>
          </w:tcPr>
          <w:p w:rsidR="00883AAE" w:rsidRDefault="00B21BE0">
            <w:pPr>
              <w:pStyle w:val="TableRow"/>
            </w:pPr>
            <w:r>
              <w:t>Disengagement, inability to relate to texts, poor comprehension of subject vocabulary</w:t>
            </w:r>
          </w:p>
        </w:tc>
        <w:tc>
          <w:tcPr>
            <w:tcW w:w="1843" w:type="dxa"/>
          </w:tcPr>
          <w:p w:rsidR="00883AAE" w:rsidRDefault="00B21BE0">
            <w:pPr>
              <w:pStyle w:val="TableRow"/>
            </w:pPr>
            <w:r>
              <w:t xml:space="preserve">Improved </w:t>
            </w:r>
            <w:r>
              <w:t>comprehension skills and attainment</w:t>
            </w:r>
          </w:p>
        </w:tc>
        <w:tc>
          <w:tcPr>
            <w:tcW w:w="2580" w:type="dxa"/>
          </w:tcPr>
          <w:p w:rsidR="00883AAE" w:rsidRDefault="00B21BE0">
            <w:pPr>
              <w:pStyle w:val="TableRow"/>
            </w:pPr>
            <w:r>
              <w:t xml:space="preserve">Difference in reading level between disadvantaged pupils and others reduced by 4 points </w:t>
            </w:r>
          </w:p>
        </w:tc>
        <w:tc>
          <w:tcPr>
            <w:tcW w:w="2239" w:type="dxa"/>
          </w:tcPr>
          <w:p w:rsidR="00883AAE" w:rsidRDefault="00B21BE0">
            <w:pPr>
              <w:pStyle w:val="TableRow"/>
            </w:pPr>
            <w:r>
              <w:t>Catch-up reading programme</w:t>
            </w:r>
          </w:p>
          <w:p w:rsidR="00883AAE" w:rsidRDefault="00B21BE0">
            <w:pPr>
              <w:pStyle w:val="TableRow"/>
            </w:pPr>
            <w:r>
              <w:t>Structured 1:1 intervention</w:t>
            </w:r>
          </w:p>
          <w:p w:rsidR="00883AAE" w:rsidRDefault="00B21BE0">
            <w:pPr>
              <w:pStyle w:val="TableRow"/>
            </w:pPr>
            <w:r>
              <w:t>Tutoring from City Tutors</w:t>
            </w:r>
          </w:p>
          <w:p w:rsidR="00883AAE" w:rsidRDefault="00B21BE0">
            <w:pPr>
              <w:pStyle w:val="TableRow"/>
            </w:pPr>
            <w:r>
              <w:t xml:space="preserve">Increased display of subject vocabulary in </w:t>
            </w:r>
            <w:r>
              <w:t>classrooms and books</w:t>
            </w:r>
          </w:p>
        </w:tc>
        <w:tc>
          <w:tcPr>
            <w:tcW w:w="3468" w:type="dxa"/>
          </w:tcPr>
          <w:p w:rsidR="00883AAE" w:rsidRDefault="00B21BE0">
            <w:pPr>
              <w:pStyle w:val="TableRow"/>
            </w:pPr>
            <w:r>
              <w:t>As a result of additional support, expected reading levels have risen for all pupils, but whilst 71% of FSM pupils made expected or more than expected progress in English, 81% of non-FSM pupils made expected or more than expected progr</w:t>
            </w:r>
            <w:r>
              <w:t>ess. This has led to a review of the effectiveness of the reading programme.</w:t>
            </w:r>
          </w:p>
        </w:tc>
      </w:tr>
      <w:tr w:rsidR="00883AAE">
        <w:trPr>
          <w:trHeight w:val="1131"/>
          <w:tblHeader/>
        </w:trPr>
        <w:tc>
          <w:tcPr>
            <w:tcW w:w="1985" w:type="dxa"/>
          </w:tcPr>
          <w:p w:rsidR="00883AAE" w:rsidRDefault="00B21BE0">
            <w:pPr>
              <w:pStyle w:val="TableRow"/>
            </w:pPr>
            <w:r>
              <w:t>Improved attainment in GCSE mathematics (Y11 pupils)</w:t>
            </w:r>
          </w:p>
        </w:tc>
        <w:tc>
          <w:tcPr>
            <w:tcW w:w="2126" w:type="dxa"/>
          </w:tcPr>
          <w:p w:rsidR="00883AAE" w:rsidRDefault="00B21BE0">
            <w:pPr>
              <w:pStyle w:val="TableRow"/>
            </w:pPr>
            <w:r>
              <w:t>Disengagement</w:t>
            </w:r>
          </w:p>
          <w:p w:rsidR="00883AAE" w:rsidRDefault="00B21BE0">
            <w:pPr>
              <w:pStyle w:val="TableRow"/>
            </w:pPr>
            <w:r>
              <w:t xml:space="preserve">Inability to apply numerical understanding to higher order mathematical problems </w:t>
            </w:r>
          </w:p>
        </w:tc>
        <w:tc>
          <w:tcPr>
            <w:tcW w:w="1843" w:type="dxa"/>
          </w:tcPr>
          <w:p w:rsidR="00883AAE" w:rsidRDefault="00B21BE0">
            <w:pPr>
              <w:pStyle w:val="TableRow"/>
            </w:pPr>
            <w:r>
              <w:t>Improved engagement and attai</w:t>
            </w:r>
            <w:r>
              <w:t>nment; improved application of numerical functions</w:t>
            </w:r>
          </w:p>
        </w:tc>
        <w:tc>
          <w:tcPr>
            <w:tcW w:w="2580" w:type="dxa"/>
          </w:tcPr>
          <w:p w:rsidR="00883AAE" w:rsidRDefault="00B21BE0">
            <w:pPr>
              <w:pStyle w:val="TableRow"/>
            </w:pPr>
            <w:r>
              <w:t>Difference in reading level between disadvantaged pupils and others reduced by 4 points</w:t>
            </w:r>
          </w:p>
        </w:tc>
        <w:tc>
          <w:tcPr>
            <w:tcW w:w="2239" w:type="dxa"/>
          </w:tcPr>
          <w:p w:rsidR="00883AAE" w:rsidRDefault="00B21BE0">
            <w:pPr>
              <w:pStyle w:val="TableRow"/>
            </w:pPr>
            <w:r>
              <w:t>Maths tutoring</w:t>
            </w:r>
          </w:p>
        </w:tc>
        <w:tc>
          <w:tcPr>
            <w:tcW w:w="3468" w:type="dxa"/>
          </w:tcPr>
          <w:p w:rsidR="00883AAE" w:rsidRDefault="00B21BE0">
            <w:pPr>
              <w:pStyle w:val="TableRow"/>
            </w:pPr>
            <w:r>
              <w:t>As a result of additional support, expected attainment levels have risen for all pupils, and at the sa</w:t>
            </w:r>
            <w:r>
              <w:t>me rate for disadvantaged pupils as for their peers. 67% of FSM pupils met or exceeded their expected targets in GCSE maths whilst 67% of non-FSM pupils met or exceeded their expected targets.</w:t>
            </w:r>
          </w:p>
        </w:tc>
      </w:tr>
      <w:tr w:rsidR="00883AAE">
        <w:trPr>
          <w:trHeight w:val="1119"/>
          <w:tblHeader/>
        </w:trPr>
        <w:tc>
          <w:tcPr>
            <w:tcW w:w="1985" w:type="dxa"/>
          </w:tcPr>
          <w:p w:rsidR="00883AAE" w:rsidRDefault="00B21BE0">
            <w:pPr>
              <w:pStyle w:val="TableRow"/>
            </w:pPr>
            <w:r>
              <w:lastRenderedPageBreak/>
              <w:t xml:space="preserve">Improved engagement in studying through the attendance and </w:t>
            </w:r>
            <w:r>
              <w:t>achievement in vocational courses</w:t>
            </w:r>
          </w:p>
        </w:tc>
        <w:tc>
          <w:tcPr>
            <w:tcW w:w="2126" w:type="dxa"/>
          </w:tcPr>
          <w:p w:rsidR="00883AAE" w:rsidRDefault="00B21BE0">
            <w:pPr>
              <w:pStyle w:val="TableRow"/>
            </w:pPr>
            <w:r>
              <w:t>Disengagement</w:t>
            </w:r>
          </w:p>
          <w:p w:rsidR="00883AAE" w:rsidRDefault="00B21BE0">
            <w:pPr>
              <w:pStyle w:val="TableRow"/>
            </w:pPr>
            <w:r>
              <w:t>Feeling of failure to focus on academic studies</w:t>
            </w:r>
          </w:p>
        </w:tc>
        <w:tc>
          <w:tcPr>
            <w:tcW w:w="1843" w:type="dxa"/>
          </w:tcPr>
          <w:p w:rsidR="00883AAE" w:rsidRDefault="00B21BE0">
            <w:pPr>
              <w:pStyle w:val="TableRow"/>
            </w:pPr>
            <w:r>
              <w:t>Improved engagement and attainment</w:t>
            </w:r>
          </w:p>
        </w:tc>
        <w:tc>
          <w:tcPr>
            <w:tcW w:w="2580" w:type="dxa"/>
          </w:tcPr>
          <w:p w:rsidR="00883AAE" w:rsidRDefault="00B21BE0">
            <w:pPr>
              <w:pStyle w:val="TableRow"/>
            </w:pPr>
            <w:r>
              <w:t>Attendance at school</w:t>
            </w:r>
          </w:p>
          <w:p w:rsidR="00883AAE" w:rsidRDefault="00B21BE0">
            <w:pPr>
              <w:pStyle w:val="TableRow"/>
            </w:pPr>
            <w:r>
              <w:t>Reduction in the number of behaviour incidents from 2016-17 to 2017-18</w:t>
            </w:r>
          </w:p>
          <w:p w:rsidR="00883AAE" w:rsidRDefault="00B21BE0">
            <w:pPr>
              <w:pStyle w:val="TableRow"/>
            </w:pPr>
            <w:r>
              <w:t>Achievement in vocational studies</w:t>
            </w:r>
          </w:p>
        </w:tc>
        <w:tc>
          <w:tcPr>
            <w:tcW w:w="2239" w:type="dxa"/>
          </w:tcPr>
          <w:p w:rsidR="00883AAE" w:rsidRDefault="00B21BE0">
            <w:pPr>
              <w:pStyle w:val="TableRow"/>
            </w:pPr>
            <w:r>
              <w:t>BTEC Science and Home Cooking</w:t>
            </w:r>
          </w:p>
        </w:tc>
        <w:tc>
          <w:tcPr>
            <w:tcW w:w="3468" w:type="dxa"/>
          </w:tcPr>
          <w:p w:rsidR="00883AAE" w:rsidRDefault="00B21BE0">
            <w:pPr>
              <w:pStyle w:val="TableRow"/>
            </w:pPr>
            <w:r>
              <w:t>As a result of studying vocational courses, all pupils have achieved a recognised qualification in a vocational BTEC course, in line with non-disadvantaged pupils and mainstream pupils.</w:t>
            </w:r>
          </w:p>
        </w:tc>
      </w:tr>
      <w:tr w:rsidR="00883AAE">
        <w:trPr>
          <w:trHeight w:val="1264"/>
          <w:tblHeader/>
        </w:trPr>
        <w:tc>
          <w:tcPr>
            <w:tcW w:w="1985" w:type="dxa"/>
          </w:tcPr>
          <w:p w:rsidR="00883AAE" w:rsidRDefault="00B21BE0">
            <w:pPr>
              <w:pStyle w:val="TableRow"/>
            </w:pPr>
            <w:r>
              <w:t>Improved engagement in all areas of sc</w:t>
            </w:r>
            <w:r>
              <w:t>hool and home life.</w:t>
            </w:r>
          </w:p>
          <w:p w:rsidR="00883AAE" w:rsidRDefault="00B21BE0">
            <w:pPr>
              <w:pStyle w:val="TableRow"/>
            </w:pPr>
            <w:r>
              <w:t>Improved mental health and ability to manage difficult social situations.</w:t>
            </w:r>
          </w:p>
        </w:tc>
        <w:tc>
          <w:tcPr>
            <w:tcW w:w="2126" w:type="dxa"/>
          </w:tcPr>
          <w:p w:rsidR="00883AAE" w:rsidRDefault="00B21BE0">
            <w:pPr>
              <w:pStyle w:val="TableRow"/>
            </w:pPr>
            <w:r>
              <w:t>Inability to communicate due to social impairments linked to ASD condition</w:t>
            </w:r>
          </w:p>
          <w:p w:rsidR="00883AAE" w:rsidRDefault="00B21BE0">
            <w:pPr>
              <w:pStyle w:val="TableRow"/>
            </w:pPr>
            <w:r>
              <w:t>Disengagement</w:t>
            </w:r>
          </w:p>
          <w:p w:rsidR="00883AAE" w:rsidRDefault="00B21BE0">
            <w:pPr>
              <w:pStyle w:val="TableRow"/>
            </w:pPr>
            <w:r>
              <w:t>Feeling of failure to manage emotions in a range of situations.</w:t>
            </w:r>
          </w:p>
        </w:tc>
        <w:tc>
          <w:tcPr>
            <w:tcW w:w="1843" w:type="dxa"/>
          </w:tcPr>
          <w:p w:rsidR="00883AAE" w:rsidRDefault="00B21BE0">
            <w:pPr>
              <w:pStyle w:val="TableRow"/>
            </w:pPr>
            <w:r>
              <w:t xml:space="preserve">Improved </w:t>
            </w:r>
            <w:r>
              <w:t>engagement and attainment</w:t>
            </w:r>
          </w:p>
          <w:p w:rsidR="00883AAE" w:rsidRDefault="00B21BE0">
            <w:pPr>
              <w:pStyle w:val="TableRow"/>
            </w:pPr>
            <w:r>
              <w:t>Improved mental health and ability to communicate feelings and manage emotions</w:t>
            </w:r>
          </w:p>
        </w:tc>
        <w:tc>
          <w:tcPr>
            <w:tcW w:w="2580" w:type="dxa"/>
          </w:tcPr>
          <w:p w:rsidR="00883AAE" w:rsidRDefault="00B21BE0">
            <w:pPr>
              <w:pStyle w:val="TableRow"/>
            </w:pPr>
            <w:r>
              <w:t>Attendance at school</w:t>
            </w:r>
          </w:p>
          <w:p w:rsidR="00883AAE" w:rsidRDefault="00B21BE0">
            <w:pPr>
              <w:pStyle w:val="TableRow"/>
            </w:pPr>
            <w:r>
              <w:t>Reduction in the number of behaviour incidents from  2016-17 to 2017-18</w:t>
            </w:r>
          </w:p>
          <w:p w:rsidR="00883AAE" w:rsidRDefault="00883AAE">
            <w:pPr>
              <w:pStyle w:val="TableRow"/>
            </w:pPr>
          </w:p>
        </w:tc>
        <w:tc>
          <w:tcPr>
            <w:tcW w:w="2239" w:type="dxa"/>
          </w:tcPr>
          <w:p w:rsidR="00883AAE" w:rsidRDefault="00B21BE0">
            <w:pPr>
              <w:pStyle w:val="Default"/>
            </w:pPr>
            <w:r>
              <w:t xml:space="preserve">Additional CAMHS (Children and adolescents mental health service) intervention </w:t>
            </w:r>
          </w:p>
          <w:p w:rsidR="00883AAE" w:rsidRDefault="00883AAE">
            <w:pPr>
              <w:pStyle w:val="TableRow"/>
              <w:ind w:left="0"/>
            </w:pPr>
          </w:p>
        </w:tc>
        <w:tc>
          <w:tcPr>
            <w:tcW w:w="3468" w:type="dxa"/>
          </w:tcPr>
          <w:p w:rsidR="00883AAE" w:rsidRDefault="00B21BE0">
            <w:pPr>
              <w:pStyle w:val="Default"/>
            </w:pPr>
            <w:r>
              <w:t xml:space="preserve">This has contributed to students developing strategies to reduce their anxiety. </w:t>
            </w:r>
          </w:p>
          <w:p w:rsidR="00883AAE" w:rsidRDefault="00B21BE0">
            <w:pPr>
              <w:pStyle w:val="TableRow"/>
            </w:pPr>
            <w:r>
              <w:t xml:space="preserve">Students supported are experiencing fewer angry and rude outbursts towards staff and peers. </w:t>
            </w:r>
          </w:p>
        </w:tc>
      </w:tr>
    </w:tbl>
    <w:p w:rsidR="00883AAE" w:rsidRDefault="00B21BE0">
      <w:pPr>
        <w:spacing w:after="0" w:line="240" w:lineRule="auto"/>
      </w:pPr>
      <w:r>
        <w:br w:type="page"/>
      </w:r>
    </w:p>
    <w:p w:rsidR="00883AAE" w:rsidRDefault="00B21BE0">
      <w:pPr>
        <w:pStyle w:val="Heading2"/>
      </w:pPr>
      <w:bookmarkStart w:id="1" w:name="_Toc404004534"/>
      <w:bookmarkStart w:id="2" w:name="_Toc404007593"/>
      <w:bookmarkStart w:id="3" w:name="_Toc404081399"/>
      <w:bookmarkStart w:id="4" w:name="_Toc404086441"/>
      <w:bookmarkStart w:id="5" w:name="_Toc404093172"/>
      <w:bookmarkStart w:id="6" w:name="_Toc404765017"/>
      <w:bookmarkStart w:id="7" w:name="_Toc404846666"/>
      <w:bookmarkStart w:id="8" w:name="_Toc404858743"/>
      <w:r>
        <w:lastRenderedPageBreak/>
        <w:t>Revised strategies following the school visit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06"/>
        <w:gridCol w:w="2383"/>
        <w:gridCol w:w="2775"/>
        <w:gridCol w:w="2391"/>
      </w:tblGrid>
      <w:tr w:rsidR="00883AAE">
        <w:trPr>
          <w:trHeight w:val="416"/>
        </w:trPr>
        <w:tc>
          <w:tcPr>
            <w:tcW w:w="2127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  <w:jc w:val="left"/>
            </w:pPr>
            <w:r>
              <w:t>Barriers to learning</w:t>
            </w:r>
            <w:r>
              <w:tab/>
            </w:r>
          </w:p>
        </w:tc>
        <w:tc>
          <w:tcPr>
            <w:tcW w:w="2406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Desired outcomes</w:t>
            </w:r>
          </w:p>
        </w:tc>
        <w:tc>
          <w:tcPr>
            <w:tcW w:w="2383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Success Criteria</w:t>
            </w:r>
          </w:p>
        </w:tc>
        <w:tc>
          <w:tcPr>
            <w:tcW w:w="2775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Chosen Strategy</w:t>
            </w:r>
          </w:p>
        </w:tc>
        <w:tc>
          <w:tcPr>
            <w:tcW w:w="2391" w:type="dxa"/>
            <w:shd w:val="clear" w:color="auto" w:fill="B8CCE4" w:themeFill="accent1" w:themeFillTint="66"/>
          </w:tcPr>
          <w:p w:rsidR="00883AAE" w:rsidRDefault="00B21BE0">
            <w:pPr>
              <w:pStyle w:val="TableHeader"/>
            </w:pPr>
            <w:r>
              <w:t>Evaluation of impact</w:t>
            </w:r>
          </w:p>
        </w:tc>
      </w:tr>
      <w:tr w:rsidR="00883AAE">
        <w:trPr>
          <w:trHeight w:val="1507"/>
        </w:trPr>
        <w:tc>
          <w:tcPr>
            <w:tcW w:w="2127" w:type="dxa"/>
          </w:tcPr>
          <w:p w:rsidR="00883AAE" w:rsidRDefault="00B21BE0">
            <w:pPr>
              <w:pStyle w:val="TableRow"/>
            </w:pPr>
            <w:r>
              <w:t>Support of behaviour, emotional and mental health issues</w:t>
            </w:r>
          </w:p>
        </w:tc>
        <w:tc>
          <w:tcPr>
            <w:tcW w:w="1984" w:type="dxa"/>
          </w:tcPr>
          <w:p w:rsidR="00883AAE" w:rsidRDefault="00B21BE0">
            <w:pPr>
              <w:pStyle w:val="TableRow"/>
            </w:pPr>
            <w:r>
              <w:t xml:space="preserve">ASD related impairments (social communication, </w:t>
            </w:r>
            <w:r>
              <w:t>interaction and flexibility of thought)</w:t>
            </w:r>
          </w:p>
        </w:tc>
        <w:tc>
          <w:tcPr>
            <w:tcW w:w="2406" w:type="dxa"/>
          </w:tcPr>
          <w:p w:rsidR="00883AAE" w:rsidRDefault="00B21BE0">
            <w:pPr>
              <w:pStyle w:val="TableRow"/>
            </w:pPr>
            <w:r>
              <w:t>100% achievement of relevant Appendix A targets</w:t>
            </w:r>
          </w:p>
          <w:p w:rsidR="00883AAE" w:rsidRDefault="00B21BE0">
            <w:pPr>
              <w:pStyle w:val="TableRow"/>
            </w:pPr>
            <w:r>
              <w:t>Pupils and families gaining access and support from relevant external services</w:t>
            </w:r>
          </w:p>
          <w:p w:rsidR="00883AAE" w:rsidRDefault="00B21BE0">
            <w:pPr>
              <w:pStyle w:val="TableRow"/>
            </w:pPr>
            <w:r>
              <w:t>Improvement in self-management of anxiety levels</w:t>
            </w:r>
          </w:p>
        </w:tc>
        <w:tc>
          <w:tcPr>
            <w:tcW w:w="2383" w:type="dxa"/>
          </w:tcPr>
          <w:p w:rsidR="00883AAE" w:rsidRDefault="00B21BE0">
            <w:pPr>
              <w:pStyle w:val="TableRow"/>
            </w:pPr>
            <w:r>
              <w:t>Reduced number of behaviour incidents an</w:t>
            </w:r>
            <w:r>
              <w:t>d levels of anxiety</w:t>
            </w:r>
          </w:p>
          <w:p w:rsidR="00883AAE" w:rsidRDefault="00B21BE0">
            <w:pPr>
              <w:pStyle w:val="TableRow"/>
            </w:pPr>
            <w:r>
              <w:t>Ability to self-manage anxious situations measured by achievement of relevant Appendix A targets</w:t>
            </w:r>
          </w:p>
        </w:tc>
        <w:tc>
          <w:tcPr>
            <w:tcW w:w="2775" w:type="dxa"/>
          </w:tcPr>
          <w:p w:rsidR="00883AAE" w:rsidRDefault="00B21BE0">
            <w:pPr>
              <w:pStyle w:val="TableRow"/>
            </w:pPr>
            <w:r>
              <w:t>Additional CAMHS intervention</w:t>
            </w:r>
          </w:p>
        </w:tc>
        <w:tc>
          <w:tcPr>
            <w:tcW w:w="2391" w:type="dxa"/>
          </w:tcPr>
          <w:p w:rsidR="00883AAE" w:rsidRDefault="00B21BE0">
            <w:pPr>
              <w:pStyle w:val="TableRow"/>
            </w:pPr>
            <w:r>
              <w:t>As a result of the development of CAMHS intervention, the pupils will develop their self-confidence and rigid</w:t>
            </w:r>
            <w:r>
              <w:t>ity of thought and achieve their Appendix A Social Communication targets.</w:t>
            </w:r>
          </w:p>
        </w:tc>
      </w:tr>
    </w:tbl>
    <w:p w:rsidR="00883AAE" w:rsidRDefault="00883AAE"/>
    <w:sectPr w:rsidR="00883AAE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E0" w:rsidRDefault="00B21BE0">
      <w:pPr>
        <w:spacing w:after="0" w:line="240" w:lineRule="auto"/>
      </w:pPr>
      <w:r>
        <w:separator/>
      </w:r>
    </w:p>
  </w:endnote>
  <w:endnote w:type="continuationSeparator" w:id="0">
    <w:p w:rsidR="00B21BE0" w:rsidRDefault="00B2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E0" w:rsidRDefault="00B21BE0">
      <w:pPr>
        <w:spacing w:after="0" w:line="240" w:lineRule="auto"/>
      </w:pPr>
      <w:r>
        <w:separator/>
      </w:r>
    </w:p>
  </w:footnote>
  <w:footnote w:type="continuationSeparator" w:id="0">
    <w:p w:rsidR="00B21BE0" w:rsidRDefault="00B2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AE" w:rsidRDefault="00B21BE0">
    <w:pPr>
      <w:pStyle w:val="Heading1"/>
      <w:spacing w:after="120"/>
    </w:pPr>
    <w:bookmarkStart w:id="9" w:name="_Toc404086438"/>
    <w:bookmarkStart w:id="10" w:name="_Toc404093169"/>
    <w:bookmarkStart w:id="11" w:name="_Toc404858740"/>
    <w:r>
      <w:t xml:space="preserve">Pupil Premium Review: The Courtyard Self-evaluation </w:t>
    </w:r>
    <w:bookmarkEnd w:id="9"/>
    <w:bookmarkEnd w:id="10"/>
    <w:bookmarkEnd w:id="11"/>
    <w:r>
      <w:t>July 2018</w:t>
    </w:r>
  </w:p>
  <w:p w:rsidR="00883AAE" w:rsidRDefault="00883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363C"/>
    <w:multiLevelType w:val="hybridMultilevel"/>
    <w:tmpl w:val="8EB0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F7C75"/>
    <w:multiLevelType w:val="hybridMultilevel"/>
    <w:tmpl w:val="BACA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E"/>
    <w:rsid w:val="00883AAE"/>
    <w:rsid w:val="00B21BE0"/>
    <w:rsid w:val="00C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76BFC-DC62-4F0F-A31E-995B70A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1"/>
      </w:numPr>
      <w:contextualSpacing/>
    </w:pPr>
  </w:style>
  <w:style w:type="table" w:styleId="TableGrid">
    <w:name w:val="Table Grid"/>
    <w:basedOn w:val="TableNormal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pPr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 w:themeColor="text1" w:themeTint="F2"/>
      <w:sz w:val="24"/>
      <w:szCs w:val="24"/>
      <w:lang w:eastAsia="en-GB"/>
    </w:rPr>
  </w:style>
  <w:style w:type="paragraph" w:customStyle="1" w:styleId="TableRow">
    <w:name w:val="TableRow"/>
    <w:link w:val="TableRowChar"/>
    <w:qFormat/>
    <w:pPr>
      <w:spacing w:before="60" w:after="60" w:line="240" w:lineRule="auto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TableRowChar">
    <w:name w:val="TableRow Char"/>
    <w:link w:val="TableRow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Magdalene Academy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Shepherd</dc:creator>
  <cp:lastModifiedBy>Deborah Shepherd</cp:lastModifiedBy>
  <cp:revision>2</cp:revision>
  <dcterms:created xsi:type="dcterms:W3CDTF">2018-11-28T00:44:00Z</dcterms:created>
  <dcterms:modified xsi:type="dcterms:W3CDTF">2018-11-28T00:44:00Z</dcterms:modified>
</cp:coreProperties>
</file>