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B2" w:rsidRDefault="002C37B2" w:rsidP="002C37B2">
      <w:pPr>
        <w:pStyle w:val="Heading1"/>
      </w:pPr>
      <w:bookmarkStart w:id="0" w:name="_Toc404086442"/>
      <w:bookmarkStart w:id="1" w:name="_Toc404093173"/>
      <w:bookmarkStart w:id="2" w:name="_Toc404858744"/>
      <w:r>
        <w:t xml:space="preserve">The Courtyard: PP </w:t>
      </w:r>
      <w:r w:rsidR="00FA2D4C">
        <w:t>Report</w:t>
      </w:r>
      <w:r>
        <w:t xml:space="preserve"> </w:t>
      </w:r>
      <w:bookmarkEnd w:id="0"/>
      <w:bookmarkEnd w:id="1"/>
      <w:bookmarkEnd w:id="2"/>
      <w:r w:rsidR="00865244">
        <w:t>2019-2020</w:t>
      </w:r>
    </w:p>
    <w:tbl>
      <w:tblPr>
        <w:tblStyle w:val="TableGrid"/>
        <w:tblW w:w="0" w:type="auto"/>
        <w:tblInd w:w="108" w:type="dxa"/>
        <w:tblLook w:val="04A0" w:firstRow="1" w:lastRow="0" w:firstColumn="1" w:lastColumn="0" w:noHBand="0" w:noVBand="1"/>
      </w:tblPr>
      <w:tblGrid>
        <w:gridCol w:w="3943"/>
        <w:gridCol w:w="3799"/>
        <w:gridCol w:w="2118"/>
        <w:gridCol w:w="4206"/>
      </w:tblGrid>
      <w:tr w:rsidR="002C37B2" w:rsidTr="00BD659F">
        <w:trPr>
          <w:trHeight w:val="457"/>
        </w:trPr>
        <w:tc>
          <w:tcPr>
            <w:tcW w:w="14066" w:type="dxa"/>
            <w:gridSpan w:val="4"/>
            <w:shd w:val="clear" w:color="auto" w:fill="B8CCE4" w:themeFill="accent1" w:themeFillTint="66"/>
          </w:tcPr>
          <w:p w:rsidR="002C37B2" w:rsidRDefault="002C37B2" w:rsidP="00BD659F">
            <w:pPr>
              <w:pStyle w:val="TableHeader"/>
            </w:pPr>
            <w:r>
              <w:rPr>
                <w:i/>
              </w:rPr>
              <w:t>The Courtyard</w:t>
            </w:r>
            <w:r>
              <w:t xml:space="preserve"> School’s Pupil Premium Action Plan</w:t>
            </w:r>
            <w:r w:rsidRPr="00392CD9">
              <w:rPr>
                <w:i/>
              </w:rPr>
              <w:t xml:space="preserve"> </w:t>
            </w:r>
            <w:r w:rsidR="00865244">
              <w:rPr>
                <w:i/>
              </w:rPr>
              <w:t>2019-2020</w:t>
            </w:r>
          </w:p>
        </w:tc>
      </w:tr>
      <w:tr w:rsidR="002C37B2" w:rsidTr="00BD659F">
        <w:trPr>
          <w:trHeight w:val="451"/>
        </w:trPr>
        <w:tc>
          <w:tcPr>
            <w:tcW w:w="3943" w:type="dxa"/>
          </w:tcPr>
          <w:p w:rsidR="002C37B2" w:rsidRDefault="002C37B2" w:rsidP="00BD659F">
            <w:pPr>
              <w:pStyle w:val="TableHeader"/>
              <w:jc w:val="left"/>
            </w:pPr>
            <w:proofErr w:type="spellStart"/>
            <w:r>
              <w:t>Headteacher</w:t>
            </w:r>
            <w:proofErr w:type="spellEnd"/>
            <w:r>
              <w:t xml:space="preserve"> name:</w:t>
            </w:r>
          </w:p>
        </w:tc>
        <w:tc>
          <w:tcPr>
            <w:tcW w:w="3799" w:type="dxa"/>
          </w:tcPr>
          <w:p w:rsidR="002C37B2" w:rsidRDefault="002C37B2" w:rsidP="00BD659F">
            <w:pPr>
              <w:spacing w:after="0" w:line="240" w:lineRule="auto"/>
            </w:pPr>
            <w:r>
              <w:t>Deborah Shepherd</w:t>
            </w:r>
          </w:p>
        </w:tc>
        <w:tc>
          <w:tcPr>
            <w:tcW w:w="2118" w:type="dxa"/>
          </w:tcPr>
          <w:p w:rsidR="002C37B2" w:rsidRPr="007F77B1" w:rsidRDefault="002C37B2" w:rsidP="00BD659F">
            <w:pPr>
              <w:spacing w:after="0" w:line="240" w:lineRule="auto"/>
              <w:rPr>
                <w:b/>
              </w:rPr>
            </w:pPr>
            <w:r w:rsidRPr="007F77B1">
              <w:rPr>
                <w:b/>
              </w:rPr>
              <w:t>Signature:</w:t>
            </w:r>
          </w:p>
        </w:tc>
        <w:tc>
          <w:tcPr>
            <w:tcW w:w="4206" w:type="dxa"/>
          </w:tcPr>
          <w:p w:rsidR="002C37B2" w:rsidRDefault="007F4E70" w:rsidP="00BD659F">
            <w:pPr>
              <w:spacing w:after="0" w:line="240" w:lineRule="auto"/>
            </w:pPr>
            <w:r w:rsidRPr="00AB43D3">
              <w:rPr>
                <w:noProof/>
              </w:rPr>
              <w:drawing>
                <wp:inline distT="0" distB="0" distL="0" distR="0" wp14:anchorId="392DD881" wp14:editId="2ED7B158">
                  <wp:extent cx="1075134"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960" cy="402218"/>
                          </a:xfrm>
                          <a:prstGeom prst="rect">
                            <a:avLst/>
                          </a:prstGeom>
                          <a:noFill/>
                          <a:ln>
                            <a:noFill/>
                          </a:ln>
                        </pic:spPr>
                      </pic:pic>
                    </a:graphicData>
                  </a:graphic>
                </wp:inline>
              </w:drawing>
            </w:r>
          </w:p>
        </w:tc>
      </w:tr>
      <w:tr w:rsidR="002C37B2" w:rsidTr="00BD659F">
        <w:trPr>
          <w:trHeight w:val="371"/>
        </w:trPr>
        <w:tc>
          <w:tcPr>
            <w:tcW w:w="3943" w:type="dxa"/>
          </w:tcPr>
          <w:p w:rsidR="002C37B2" w:rsidRDefault="002C37B2" w:rsidP="00BD659F">
            <w:pPr>
              <w:pStyle w:val="TableHeader"/>
              <w:jc w:val="left"/>
            </w:pPr>
            <w:r>
              <w:t>Chair of Governors name:</w:t>
            </w:r>
          </w:p>
        </w:tc>
        <w:tc>
          <w:tcPr>
            <w:tcW w:w="3799" w:type="dxa"/>
          </w:tcPr>
          <w:p w:rsidR="002C37B2" w:rsidRDefault="00865244" w:rsidP="00865244">
            <w:pPr>
              <w:spacing w:after="0" w:line="240" w:lineRule="auto"/>
            </w:pPr>
            <w:r>
              <w:t xml:space="preserve">Bryony </w:t>
            </w:r>
            <w:proofErr w:type="spellStart"/>
            <w:r>
              <w:t>Poynor</w:t>
            </w:r>
            <w:proofErr w:type="spellEnd"/>
          </w:p>
        </w:tc>
        <w:tc>
          <w:tcPr>
            <w:tcW w:w="2118" w:type="dxa"/>
          </w:tcPr>
          <w:p w:rsidR="002C37B2" w:rsidRPr="007F77B1" w:rsidRDefault="002C37B2" w:rsidP="00BD659F">
            <w:pPr>
              <w:spacing w:after="0" w:line="240" w:lineRule="auto"/>
              <w:rPr>
                <w:b/>
              </w:rPr>
            </w:pPr>
            <w:r>
              <w:rPr>
                <w:b/>
              </w:rPr>
              <w:t>Signature:</w:t>
            </w:r>
          </w:p>
        </w:tc>
        <w:tc>
          <w:tcPr>
            <w:tcW w:w="4206" w:type="dxa"/>
          </w:tcPr>
          <w:p w:rsidR="002C37B2" w:rsidRDefault="00F728BE" w:rsidP="00BD659F">
            <w:pPr>
              <w:spacing w:after="0" w:line="240" w:lineRule="auto"/>
            </w:pPr>
            <w:r>
              <w:t>BRYONY POYNOR</w:t>
            </w:r>
          </w:p>
        </w:tc>
      </w:tr>
      <w:tr w:rsidR="002C37B2" w:rsidTr="00BD659F">
        <w:trPr>
          <w:trHeight w:val="409"/>
        </w:trPr>
        <w:tc>
          <w:tcPr>
            <w:tcW w:w="3943" w:type="dxa"/>
            <w:tcBorders>
              <w:bottom w:val="single" w:sz="4" w:space="0" w:color="auto"/>
            </w:tcBorders>
          </w:tcPr>
          <w:p w:rsidR="002C37B2" w:rsidRDefault="002C37B2" w:rsidP="00BD659F">
            <w:pPr>
              <w:pStyle w:val="TableHeader"/>
              <w:jc w:val="left"/>
            </w:pPr>
            <w:r>
              <w:t>Reviewer name:</w:t>
            </w:r>
          </w:p>
        </w:tc>
        <w:tc>
          <w:tcPr>
            <w:tcW w:w="3799" w:type="dxa"/>
            <w:tcBorders>
              <w:bottom w:val="single" w:sz="4" w:space="0" w:color="auto"/>
            </w:tcBorders>
          </w:tcPr>
          <w:p w:rsidR="002C37B2" w:rsidRDefault="007F4E70" w:rsidP="00BD659F">
            <w:pPr>
              <w:spacing w:after="0" w:line="240" w:lineRule="auto"/>
            </w:pPr>
            <w:r>
              <w:t>Dr Jen Gallagher</w:t>
            </w:r>
          </w:p>
        </w:tc>
        <w:tc>
          <w:tcPr>
            <w:tcW w:w="2118" w:type="dxa"/>
            <w:tcBorders>
              <w:bottom w:val="single" w:sz="4" w:space="0" w:color="auto"/>
            </w:tcBorders>
          </w:tcPr>
          <w:p w:rsidR="002C37B2" w:rsidRDefault="002C37B2" w:rsidP="00BD659F">
            <w:pPr>
              <w:spacing w:after="0" w:line="240" w:lineRule="auto"/>
            </w:pPr>
            <w:r w:rsidRPr="007F77B1">
              <w:rPr>
                <w:b/>
              </w:rPr>
              <w:t>Signature:</w:t>
            </w:r>
          </w:p>
        </w:tc>
        <w:tc>
          <w:tcPr>
            <w:tcW w:w="4206" w:type="dxa"/>
            <w:tcBorders>
              <w:bottom w:val="single" w:sz="4" w:space="0" w:color="auto"/>
            </w:tcBorders>
          </w:tcPr>
          <w:p w:rsidR="002C37B2" w:rsidRDefault="00F728BE" w:rsidP="00BD659F">
            <w:pPr>
              <w:spacing w:after="0" w:line="240" w:lineRule="auto"/>
            </w:pPr>
            <w:r>
              <w:t>JEN GALLAGHER</w:t>
            </w:r>
            <w:bookmarkStart w:id="3" w:name="_GoBack"/>
            <w:bookmarkEnd w:id="3"/>
          </w:p>
        </w:tc>
      </w:tr>
      <w:tr w:rsidR="002C37B2" w:rsidTr="00BD659F">
        <w:trPr>
          <w:trHeight w:val="429"/>
        </w:trPr>
        <w:tc>
          <w:tcPr>
            <w:tcW w:w="3943" w:type="dxa"/>
            <w:tcBorders>
              <w:bottom w:val="single" w:sz="4" w:space="0" w:color="auto"/>
            </w:tcBorders>
          </w:tcPr>
          <w:p w:rsidR="002C37B2" w:rsidRDefault="002C37B2" w:rsidP="00BD659F">
            <w:pPr>
              <w:pStyle w:val="TableHeader"/>
              <w:jc w:val="left"/>
            </w:pPr>
            <w:r>
              <w:t>Date of pupil premium review:</w:t>
            </w:r>
          </w:p>
        </w:tc>
        <w:tc>
          <w:tcPr>
            <w:tcW w:w="10123" w:type="dxa"/>
            <w:gridSpan w:val="3"/>
            <w:tcBorders>
              <w:bottom w:val="single" w:sz="4" w:space="0" w:color="auto"/>
            </w:tcBorders>
          </w:tcPr>
          <w:p w:rsidR="002C37B2" w:rsidRDefault="00865244" w:rsidP="00BD659F">
            <w:pPr>
              <w:spacing w:after="0" w:line="240" w:lineRule="auto"/>
            </w:pPr>
            <w:r>
              <w:t>July 2019</w:t>
            </w:r>
          </w:p>
        </w:tc>
      </w:tr>
      <w:tr w:rsidR="002C37B2" w:rsidTr="00BD659F">
        <w:trPr>
          <w:trHeight w:val="107"/>
        </w:trPr>
        <w:tc>
          <w:tcPr>
            <w:tcW w:w="14066" w:type="dxa"/>
            <w:gridSpan w:val="4"/>
            <w:tcBorders>
              <w:top w:val="single" w:sz="4" w:space="0" w:color="auto"/>
              <w:left w:val="nil"/>
              <w:bottom w:val="single" w:sz="4" w:space="0" w:color="auto"/>
              <w:right w:val="nil"/>
            </w:tcBorders>
          </w:tcPr>
          <w:p w:rsidR="002C37B2" w:rsidRPr="00C510E4" w:rsidRDefault="002C37B2" w:rsidP="00BD659F">
            <w:pPr>
              <w:spacing w:after="0" w:line="240" w:lineRule="auto"/>
              <w:rPr>
                <w:sz w:val="14"/>
              </w:rPr>
            </w:pPr>
          </w:p>
        </w:tc>
      </w:tr>
      <w:tr w:rsidR="002C37B2" w:rsidTr="00BD659F">
        <w:trPr>
          <w:trHeight w:val="466"/>
        </w:trPr>
        <w:tc>
          <w:tcPr>
            <w:tcW w:w="14066" w:type="dxa"/>
            <w:gridSpan w:val="4"/>
            <w:tcBorders>
              <w:top w:val="single" w:sz="4" w:space="0" w:color="auto"/>
            </w:tcBorders>
            <w:shd w:val="clear" w:color="auto" w:fill="B8CCE4" w:themeFill="accent1" w:themeFillTint="66"/>
          </w:tcPr>
          <w:p w:rsidR="002C37B2" w:rsidRDefault="002C37B2" w:rsidP="00BD659F">
            <w:pPr>
              <w:pStyle w:val="TableHeader"/>
            </w:pPr>
            <w:r>
              <w:t xml:space="preserve">Pupil Premium Profile </w:t>
            </w:r>
            <w:r w:rsidR="00865244">
              <w:rPr>
                <w:i/>
              </w:rPr>
              <w:t>2019-2020</w:t>
            </w:r>
          </w:p>
        </w:tc>
      </w:tr>
      <w:tr w:rsidR="002C37B2" w:rsidTr="00BD659F">
        <w:trPr>
          <w:trHeight w:val="416"/>
        </w:trPr>
        <w:tc>
          <w:tcPr>
            <w:tcW w:w="3943" w:type="dxa"/>
          </w:tcPr>
          <w:p w:rsidR="002C37B2" w:rsidRDefault="002C37B2" w:rsidP="00BD659F">
            <w:pPr>
              <w:pStyle w:val="TableHeader"/>
              <w:jc w:val="left"/>
            </w:pPr>
            <w:r>
              <w:t>Number of eligible pupils:</w:t>
            </w:r>
          </w:p>
        </w:tc>
        <w:tc>
          <w:tcPr>
            <w:tcW w:w="10123" w:type="dxa"/>
            <w:gridSpan w:val="3"/>
          </w:tcPr>
          <w:p w:rsidR="002C37B2" w:rsidRDefault="00937FA5" w:rsidP="00BD659F">
            <w:pPr>
              <w:spacing w:after="0" w:line="240" w:lineRule="auto"/>
            </w:pPr>
            <w:r w:rsidRPr="00937FA5">
              <w:t>16</w:t>
            </w:r>
          </w:p>
        </w:tc>
      </w:tr>
      <w:tr w:rsidR="002C37B2" w:rsidTr="00BD659F">
        <w:trPr>
          <w:trHeight w:val="421"/>
        </w:trPr>
        <w:tc>
          <w:tcPr>
            <w:tcW w:w="3943" w:type="dxa"/>
          </w:tcPr>
          <w:p w:rsidR="002C37B2" w:rsidRDefault="002C37B2" w:rsidP="00BD659F">
            <w:pPr>
              <w:pStyle w:val="TableHeader"/>
              <w:jc w:val="left"/>
            </w:pPr>
            <w:r>
              <w:t>Amount per pupil:</w:t>
            </w:r>
          </w:p>
        </w:tc>
        <w:tc>
          <w:tcPr>
            <w:tcW w:w="10123" w:type="dxa"/>
            <w:gridSpan w:val="3"/>
          </w:tcPr>
          <w:p w:rsidR="002C37B2" w:rsidRDefault="002C37B2" w:rsidP="00BD659F">
            <w:pPr>
              <w:spacing w:after="0" w:line="240" w:lineRule="auto"/>
            </w:pPr>
            <w:r>
              <w:t>£935</w:t>
            </w:r>
          </w:p>
        </w:tc>
      </w:tr>
      <w:tr w:rsidR="002C37B2" w:rsidTr="00BD659F">
        <w:trPr>
          <w:trHeight w:val="413"/>
        </w:trPr>
        <w:tc>
          <w:tcPr>
            <w:tcW w:w="3943" w:type="dxa"/>
            <w:tcBorders>
              <w:bottom w:val="single" w:sz="4" w:space="0" w:color="auto"/>
            </w:tcBorders>
          </w:tcPr>
          <w:p w:rsidR="002C37B2" w:rsidRDefault="002C37B2" w:rsidP="00BD659F">
            <w:pPr>
              <w:pStyle w:val="TableHeader"/>
              <w:jc w:val="left"/>
            </w:pPr>
            <w:r>
              <w:t>Total pupil premium budget:</w:t>
            </w:r>
          </w:p>
        </w:tc>
        <w:tc>
          <w:tcPr>
            <w:tcW w:w="10123" w:type="dxa"/>
            <w:gridSpan w:val="3"/>
            <w:tcBorders>
              <w:bottom w:val="single" w:sz="4" w:space="0" w:color="auto"/>
            </w:tcBorders>
          </w:tcPr>
          <w:p w:rsidR="002C37B2" w:rsidRDefault="002C37B2" w:rsidP="00937FA5">
            <w:pPr>
              <w:spacing w:after="0" w:line="240" w:lineRule="auto"/>
            </w:pPr>
            <w:r w:rsidRPr="00937FA5">
              <w:t>£</w:t>
            </w:r>
            <w:r w:rsidR="00937FA5" w:rsidRPr="00937FA5">
              <w:t>14,960</w:t>
            </w:r>
          </w:p>
        </w:tc>
      </w:tr>
      <w:tr w:rsidR="002C37B2" w:rsidTr="00BD659F">
        <w:trPr>
          <w:trHeight w:val="179"/>
        </w:trPr>
        <w:tc>
          <w:tcPr>
            <w:tcW w:w="14066" w:type="dxa"/>
            <w:gridSpan w:val="4"/>
            <w:tcBorders>
              <w:left w:val="nil"/>
              <w:right w:val="nil"/>
            </w:tcBorders>
          </w:tcPr>
          <w:p w:rsidR="002C37B2" w:rsidRPr="00C510E4" w:rsidRDefault="002C37B2" w:rsidP="00BD659F">
            <w:pPr>
              <w:spacing w:after="0" w:line="240" w:lineRule="auto"/>
              <w:rPr>
                <w:sz w:val="16"/>
              </w:rPr>
            </w:pPr>
          </w:p>
        </w:tc>
      </w:tr>
      <w:tr w:rsidR="002C37B2" w:rsidTr="00BD659F">
        <w:trPr>
          <w:trHeight w:val="466"/>
        </w:trPr>
        <w:tc>
          <w:tcPr>
            <w:tcW w:w="14066" w:type="dxa"/>
            <w:gridSpan w:val="4"/>
            <w:shd w:val="clear" w:color="auto" w:fill="B8CCE4" w:themeFill="accent1" w:themeFillTint="66"/>
          </w:tcPr>
          <w:p w:rsidR="002C37B2" w:rsidRDefault="002C37B2" w:rsidP="00BD659F">
            <w:pPr>
              <w:pStyle w:val="TableHeader"/>
            </w:pPr>
            <w:r>
              <w:t>Executive Summary</w:t>
            </w:r>
          </w:p>
        </w:tc>
      </w:tr>
      <w:tr w:rsidR="002C37B2" w:rsidTr="00BD659F">
        <w:trPr>
          <w:trHeight w:val="274"/>
        </w:trPr>
        <w:tc>
          <w:tcPr>
            <w:tcW w:w="14066" w:type="dxa"/>
            <w:gridSpan w:val="4"/>
          </w:tcPr>
          <w:p w:rsidR="002C37B2" w:rsidRPr="00C510E4" w:rsidRDefault="002C37B2" w:rsidP="00BD659F">
            <w:pPr>
              <w:spacing w:after="0" w:line="240" w:lineRule="auto"/>
              <w:rPr>
                <w:sz w:val="22"/>
              </w:rPr>
            </w:pPr>
            <w:r w:rsidRPr="00C510E4">
              <w:rPr>
                <w:sz w:val="22"/>
              </w:rPr>
              <w:t>The Courtyard SLT and governors made an executive decision to allocate Pupil Premium funds to a range of educational and social development areas to best benefit the pupils who were eligible for Free School Meals.</w:t>
            </w:r>
          </w:p>
          <w:p w:rsidR="005174A8" w:rsidRDefault="005174A8" w:rsidP="00BD659F">
            <w:pPr>
              <w:spacing w:after="0" w:line="240" w:lineRule="auto"/>
              <w:rPr>
                <w:sz w:val="22"/>
              </w:rPr>
            </w:pPr>
          </w:p>
          <w:p w:rsidR="005174A8" w:rsidRDefault="005174A8" w:rsidP="005174A8">
            <w:pPr>
              <w:spacing w:after="0" w:line="240" w:lineRule="auto"/>
              <w:rPr>
                <w:sz w:val="22"/>
              </w:rPr>
            </w:pPr>
            <w:r>
              <w:rPr>
                <w:sz w:val="22"/>
              </w:rPr>
              <w:t>T</w:t>
            </w:r>
            <w:r w:rsidRPr="00C510E4">
              <w:rPr>
                <w:sz w:val="22"/>
              </w:rPr>
              <w:t>he aim of the strategic allocation of Pupil Premium funding is to support the development and progress of all pupils whilst reducing the gap between the achievements of disadvantaged pupils and their peers</w:t>
            </w:r>
            <w:r>
              <w:rPr>
                <w:sz w:val="22"/>
              </w:rPr>
              <w:t>. It is recognised that pupils with ASC and a complexity of other needs, have significant difficulty in accessing the curriculum and making progress. Any needs regarding social, emotional and mental health need to be acknowledged and supported in order for the young person to access their learning and achieve their potential.</w:t>
            </w:r>
          </w:p>
          <w:p w:rsidR="005174A8" w:rsidRDefault="005174A8" w:rsidP="005174A8">
            <w:pPr>
              <w:spacing w:after="0" w:line="240" w:lineRule="auto"/>
              <w:rPr>
                <w:sz w:val="22"/>
              </w:rPr>
            </w:pPr>
          </w:p>
          <w:p w:rsidR="005174A8" w:rsidRPr="00C510E4" w:rsidRDefault="005174A8" w:rsidP="005174A8">
            <w:pPr>
              <w:spacing w:after="0" w:line="240" w:lineRule="auto"/>
              <w:rPr>
                <w:sz w:val="22"/>
              </w:rPr>
            </w:pPr>
            <w:r>
              <w:rPr>
                <w:sz w:val="22"/>
              </w:rPr>
              <w:t xml:space="preserve">The </w:t>
            </w:r>
            <w:r w:rsidRPr="00C510E4">
              <w:rPr>
                <w:sz w:val="22"/>
              </w:rPr>
              <w:t xml:space="preserve">Courtyard SLT and governors </w:t>
            </w:r>
            <w:r>
              <w:rPr>
                <w:sz w:val="22"/>
              </w:rPr>
              <w:t>allocate</w:t>
            </w:r>
            <w:r w:rsidRPr="00C510E4">
              <w:rPr>
                <w:sz w:val="22"/>
              </w:rPr>
              <w:t xml:space="preserve"> a significant percentage of Pupil Premium funding </w:t>
            </w:r>
            <w:r>
              <w:rPr>
                <w:sz w:val="22"/>
              </w:rPr>
              <w:t xml:space="preserve">to CAMHS, </w:t>
            </w:r>
            <w:r w:rsidRPr="00C510E4">
              <w:rPr>
                <w:sz w:val="22"/>
              </w:rPr>
              <w:t>Speech and Language</w:t>
            </w:r>
            <w:r>
              <w:rPr>
                <w:sz w:val="22"/>
              </w:rPr>
              <w:t xml:space="preserve"> and Counselling</w:t>
            </w:r>
            <w:r w:rsidRPr="00C510E4">
              <w:rPr>
                <w:sz w:val="22"/>
              </w:rPr>
              <w:t xml:space="preserve"> support </w:t>
            </w:r>
            <w:r>
              <w:rPr>
                <w:sz w:val="22"/>
              </w:rPr>
              <w:t xml:space="preserve">within </w:t>
            </w:r>
            <w:r w:rsidRPr="00C510E4">
              <w:rPr>
                <w:sz w:val="22"/>
              </w:rPr>
              <w:t xml:space="preserve">the school. Through a range of interventions, staff training and team teaching, </w:t>
            </w:r>
            <w:r>
              <w:rPr>
                <w:sz w:val="22"/>
              </w:rPr>
              <w:t>all</w:t>
            </w:r>
            <w:r w:rsidRPr="00C510E4">
              <w:rPr>
                <w:sz w:val="22"/>
              </w:rPr>
              <w:t xml:space="preserve"> external services can support the development of the health and wellbeing of all pupils. The progress achieved by FSM pupils can be measured against their Appendix A targets.</w:t>
            </w:r>
          </w:p>
          <w:p w:rsidR="005174A8" w:rsidRDefault="005174A8" w:rsidP="00BD659F">
            <w:pPr>
              <w:spacing w:after="0" w:line="240" w:lineRule="auto"/>
              <w:rPr>
                <w:sz w:val="22"/>
              </w:rPr>
            </w:pPr>
          </w:p>
          <w:p w:rsidR="00AC20ED" w:rsidRDefault="00865244" w:rsidP="00BD659F">
            <w:pPr>
              <w:spacing w:after="0" w:line="240" w:lineRule="auto"/>
              <w:rPr>
                <w:sz w:val="22"/>
              </w:rPr>
            </w:pPr>
            <w:r>
              <w:rPr>
                <w:sz w:val="22"/>
              </w:rPr>
              <w:t>Last year (2018</w:t>
            </w:r>
            <w:r w:rsidR="00846BB5">
              <w:rPr>
                <w:sz w:val="22"/>
              </w:rPr>
              <w:t>-20</w:t>
            </w:r>
            <w:r>
              <w:rPr>
                <w:sz w:val="22"/>
              </w:rPr>
              <w:t>19</w:t>
            </w:r>
            <w:r w:rsidR="00C15CD9">
              <w:rPr>
                <w:sz w:val="22"/>
              </w:rPr>
              <w:t>):</w:t>
            </w:r>
            <w:r w:rsidR="002C37B2" w:rsidRPr="00C510E4">
              <w:rPr>
                <w:sz w:val="22"/>
              </w:rPr>
              <w:t xml:space="preserve"> </w:t>
            </w:r>
            <w:r w:rsidR="00AC20ED">
              <w:rPr>
                <w:sz w:val="22"/>
              </w:rPr>
              <w:t xml:space="preserve">62% of PP pupils </w:t>
            </w:r>
            <w:r w:rsidR="00853C7C">
              <w:rPr>
                <w:sz w:val="22"/>
              </w:rPr>
              <w:t>made expected or more than expected progress co</w:t>
            </w:r>
            <w:r w:rsidR="001409A7">
              <w:rPr>
                <w:sz w:val="22"/>
              </w:rPr>
              <w:t>mpared to 85% of non-PP pupils in English.</w:t>
            </w:r>
          </w:p>
          <w:p w:rsidR="001409A7" w:rsidRDefault="0024505B" w:rsidP="00BD659F">
            <w:pPr>
              <w:spacing w:after="0" w:line="240" w:lineRule="auto"/>
              <w:rPr>
                <w:sz w:val="22"/>
              </w:rPr>
            </w:pPr>
            <w:r>
              <w:rPr>
                <w:sz w:val="22"/>
              </w:rPr>
              <w:t>69% of PP pupils made expected or more than expected progress compared to 65% of non-PP pupils in Maths.</w:t>
            </w:r>
          </w:p>
          <w:p w:rsidR="00F910A9" w:rsidRDefault="00F910A9" w:rsidP="00BD659F">
            <w:pPr>
              <w:spacing w:after="0" w:line="240" w:lineRule="auto"/>
              <w:rPr>
                <w:sz w:val="22"/>
              </w:rPr>
            </w:pPr>
            <w:r>
              <w:rPr>
                <w:sz w:val="22"/>
              </w:rPr>
              <w:lastRenderedPageBreak/>
              <w:t>The IDL Literacy programme saw PP pupils make on average 1 year and 2 months progress in their reading ages and 1 year and 1 month progress in their spelling ages.</w:t>
            </w:r>
          </w:p>
          <w:p w:rsidR="00F910A9" w:rsidRDefault="00F910A9" w:rsidP="00BD659F">
            <w:pPr>
              <w:spacing w:after="0" w:line="240" w:lineRule="auto"/>
              <w:rPr>
                <w:sz w:val="22"/>
              </w:rPr>
            </w:pPr>
            <w:r>
              <w:rPr>
                <w:sz w:val="22"/>
              </w:rPr>
              <w:t>The non-PP pupils made on average 1 year and 4 months progress in their reading ages and 8 months progress in their spelling ages.</w:t>
            </w:r>
          </w:p>
          <w:p w:rsidR="00853C7C" w:rsidRPr="00C510E4" w:rsidRDefault="00853C7C" w:rsidP="00853C7C">
            <w:pPr>
              <w:spacing w:after="0" w:line="240" w:lineRule="auto"/>
              <w:rPr>
                <w:sz w:val="14"/>
              </w:rPr>
            </w:pPr>
          </w:p>
          <w:p w:rsidR="002C37B2" w:rsidRPr="00C15CD9" w:rsidRDefault="00853C7C" w:rsidP="00BD659F">
            <w:pPr>
              <w:spacing w:after="0" w:line="240" w:lineRule="auto"/>
              <w:rPr>
                <w:sz w:val="22"/>
              </w:rPr>
            </w:pPr>
            <w:r>
              <w:rPr>
                <w:sz w:val="22"/>
              </w:rPr>
              <w:t>Date of next review: June 2019</w:t>
            </w:r>
          </w:p>
        </w:tc>
      </w:tr>
    </w:tbl>
    <w:p w:rsidR="002C37B2" w:rsidRDefault="002C37B2" w:rsidP="002C37B2">
      <w:pPr>
        <w:pStyle w:val="Heading1"/>
        <w:rPr>
          <w:b w:val="0"/>
          <w:sz w:val="32"/>
          <w:szCs w:val="32"/>
        </w:rPr>
      </w:pPr>
      <w:bookmarkStart w:id="4" w:name="_Toc404086443"/>
      <w:bookmarkStart w:id="5" w:name="_Toc404093174"/>
      <w:bookmarkStart w:id="6" w:name="_Toc404765019"/>
      <w:bookmarkStart w:id="7" w:name="_Toc404846668"/>
      <w:bookmarkStart w:id="8" w:name="_Toc404858745"/>
      <w:r>
        <w:lastRenderedPageBreak/>
        <w:t xml:space="preserve">The Courtyard: PP Action plan </w:t>
      </w:r>
      <w:bookmarkEnd w:id="4"/>
      <w:bookmarkEnd w:id="5"/>
      <w:bookmarkEnd w:id="6"/>
      <w:bookmarkEnd w:id="7"/>
      <w:bookmarkEnd w:id="8"/>
      <w:r w:rsidR="00865244">
        <w:t>2019-2020</w:t>
      </w:r>
    </w:p>
    <w:tbl>
      <w:tblPr>
        <w:tblStyle w:val="TableGrid"/>
        <w:tblW w:w="14709" w:type="dxa"/>
        <w:tblLayout w:type="fixed"/>
        <w:tblLook w:val="04A0" w:firstRow="1" w:lastRow="0" w:firstColumn="1" w:lastColumn="0" w:noHBand="0" w:noVBand="1"/>
      </w:tblPr>
      <w:tblGrid>
        <w:gridCol w:w="1275"/>
        <w:gridCol w:w="534"/>
        <w:gridCol w:w="2977"/>
        <w:gridCol w:w="284"/>
        <w:gridCol w:w="1275"/>
        <w:gridCol w:w="142"/>
        <w:gridCol w:w="2977"/>
        <w:gridCol w:w="1559"/>
        <w:gridCol w:w="1559"/>
        <w:gridCol w:w="993"/>
        <w:gridCol w:w="1134"/>
      </w:tblGrid>
      <w:tr w:rsidR="002C37B2" w:rsidRPr="00BD1638" w:rsidTr="00BD659F">
        <w:trPr>
          <w:trHeight w:val="416"/>
        </w:trPr>
        <w:tc>
          <w:tcPr>
            <w:tcW w:w="1809" w:type="dxa"/>
            <w:gridSpan w:val="2"/>
            <w:shd w:val="clear" w:color="auto" w:fill="B8CCE4" w:themeFill="accent1" w:themeFillTint="66"/>
          </w:tcPr>
          <w:p w:rsidR="002C37B2" w:rsidRPr="00BD1638" w:rsidRDefault="002C37B2" w:rsidP="00BD659F">
            <w:pPr>
              <w:pStyle w:val="TableHeader"/>
              <w:rPr>
                <w:sz w:val="22"/>
                <w:szCs w:val="22"/>
              </w:rPr>
            </w:pPr>
            <w:r w:rsidRPr="00BD1638">
              <w:rPr>
                <w:sz w:val="22"/>
                <w:szCs w:val="22"/>
              </w:rPr>
              <w:t>Strategy</w:t>
            </w:r>
          </w:p>
        </w:tc>
        <w:tc>
          <w:tcPr>
            <w:tcW w:w="2977"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Outcomes and success criteria</w:t>
            </w:r>
          </w:p>
        </w:tc>
        <w:tc>
          <w:tcPr>
            <w:tcW w:w="1559" w:type="dxa"/>
            <w:gridSpan w:val="2"/>
            <w:shd w:val="clear" w:color="auto" w:fill="B8CCE4" w:themeFill="accent1" w:themeFillTint="66"/>
          </w:tcPr>
          <w:p w:rsidR="002C37B2" w:rsidRPr="00BD1638" w:rsidRDefault="002C37B2" w:rsidP="00BD659F">
            <w:pPr>
              <w:pStyle w:val="TableHeader"/>
              <w:rPr>
                <w:sz w:val="22"/>
                <w:szCs w:val="22"/>
              </w:rPr>
            </w:pPr>
            <w:r w:rsidRPr="00BD1638">
              <w:rPr>
                <w:sz w:val="22"/>
                <w:szCs w:val="22"/>
              </w:rPr>
              <w:t>Owner</w:t>
            </w:r>
          </w:p>
        </w:tc>
        <w:tc>
          <w:tcPr>
            <w:tcW w:w="3119" w:type="dxa"/>
            <w:gridSpan w:val="2"/>
            <w:shd w:val="clear" w:color="auto" w:fill="B8CCE4" w:themeFill="accent1" w:themeFillTint="66"/>
          </w:tcPr>
          <w:p w:rsidR="002C37B2" w:rsidRPr="00BD1638" w:rsidRDefault="002C37B2" w:rsidP="00BD659F">
            <w:pPr>
              <w:pStyle w:val="TableHeader"/>
              <w:rPr>
                <w:sz w:val="22"/>
                <w:szCs w:val="22"/>
              </w:rPr>
            </w:pPr>
            <w:r w:rsidRPr="00BD1638">
              <w:rPr>
                <w:sz w:val="22"/>
                <w:szCs w:val="22"/>
              </w:rPr>
              <w:t>Milestones</w:t>
            </w:r>
          </w:p>
        </w:tc>
        <w:tc>
          <w:tcPr>
            <w:tcW w:w="1559"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Completed</w:t>
            </w:r>
          </w:p>
        </w:tc>
        <w:tc>
          <w:tcPr>
            <w:tcW w:w="1559"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Review date</w:t>
            </w:r>
          </w:p>
        </w:tc>
        <w:tc>
          <w:tcPr>
            <w:tcW w:w="993"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Cost per pupil</w:t>
            </w:r>
          </w:p>
        </w:tc>
        <w:tc>
          <w:tcPr>
            <w:tcW w:w="1134"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Total cost</w:t>
            </w:r>
          </w:p>
        </w:tc>
      </w:tr>
      <w:tr w:rsidR="002C37B2" w:rsidRPr="00BD1638" w:rsidTr="00BD659F">
        <w:trPr>
          <w:trHeight w:val="345"/>
        </w:trPr>
        <w:tc>
          <w:tcPr>
            <w:tcW w:w="1809" w:type="dxa"/>
            <w:gridSpan w:val="2"/>
            <w:vMerge w:val="restart"/>
          </w:tcPr>
          <w:p w:rsidR="002C37B2" w:rsidRPr="00BD1638" w:rsidRDefault="002C37B2" w:rsidP="00BD659F">
            <w:pPr>
              <w:pStyle w:val="TableRow"/>
              <w:rPr>
                <w:sz w:val="22"/>
                <w:szCs w:val="22"/>
              </w:rPr>
            </w:pPr>
            <w:r w:rsidRPr="00BD1638">
              <w:rPr>
                <w:sz w:val="22"/>
                <w:szCs w:val="22"/>
              </w:rPr>
              <w:t>Support of behaviour, emotional and mental health issues</w:t>
            </w:r>
          </w:p>
        </w:tc>
        <w:tc>
          <w:tcPr>
            <w:tcW w:w="2977" w:type="dxa"/>
            <w:vMerge w:val="restart"/>
          </w:tcPr>
          <w:p w:rsidR="002C37B2" w:rsidRPr="00BD1638" w:rsidRDefault="002C37B2" w:rsidP="00BD659F">
            <w:pPr>
              <w:pStyle w:val="TableRow"/>
              <w:rPr>
                <w:sz w:val="22"/>
                <w:szCs w:val="22"/>
              </w:rPr>
            </w:pPr>
            <w:r w:rsidRPr="00BD1638">
              <w:rPr>
                <w:sz w:val="22"/>
                <w:szCs w:val="22"/>
              </w:rPr>
              <w:t>100% achievement of relevant Appendix A targets</w:t>
            </w:r>
          </w:p>
          <w:p w:rsidR="002C37B2" w:rsidRPr="00BD1638" w:rsidRDefault="002C37B2" w:rsidP="00BD659F">
            <w:pPr>
              <w:pStyle w:val="TableRow"/>
              <w:rPr>
                <w:sz w:val="22"/>
                <w:szCs w:val="22"/>
              </w:rPr>
            </w:pPr>
            <w:r w:rsidRPr="00BD1638">
              <w:rPr>
                <w:sz w:val="22"/>
                <w:szCs w:val="22"/>
              </w:rPr>
              <w:t>Pupils and families gaining access and support from relevant external services</w:t>
            </w:r>
          </w:p>
          <w:p w:rsidR="002C37B2" w:rsidRPr="00BD1638" w:rsidRDefault="002C37B2" w:rsidP="00BD659F">
            <w:pPr>
              <w:pStyle w:val="TableRow"/>
              <w:rPr>
                <w:sz w:val="22"/>
                <w:szCs w:val="22"/>
              </w:rPr>
            </w:pPr>
            <w:r w:rsidRPr="00BD1638">
              <w:rPr>
                <w:sz w:val="22"/>
                <w:szCs w:val="22"/>
              </w:rPr>
              <w:t>Improvement in s</w:t>
            </w:r>
            <w:r>
              <w:rPr>
                <w:sz w:val="22"/>
                <w:szCs w:val="22"/>
              </w:rPr>
              <w:t xml:space="preserve">elf-management of anxiety </w:t>
            </w:r>
          </w:p>
        </w:tc>
        <w:tc>
          <w:tcPr>
            <w:tcW w:w="1559" w:type="dxa"/>
            <w:gridSpan w:val="2"/>
            <w:vMerge w:val="restart"/>
          </w:tcPr>
          <w:p w:rsidR="002C37B2" w:rsidRPr="00BD1638" w:rsidRDefault="002C37B2" w:rsidP="00BD659F">
            <w:pPr>
              <w:pStyle w:val="TableRow"/>
              <w:rPr>
                <w:sz w:val="22"/>
                <w:szCs w:val="22"/>
              </w:rPr>
            </w:pPr>
            <w:r w:rsidRPr="00BD1638">
              <w:rPr>
                <w:sz w:val="22"/>
                <w:szCs w:val="22"/>
              </w:rPr>
              <w:t>Head of the Courtyard</w:t>
            </w:r>
          </w:p>
          <w:p w:rsidR="002C37B2" w:rsidRPr="00BD1638" w:rsidRDefault="002C37B2" w:rsidP="00BD659F">
            <w:pPr>
              <w:pStyle w:val="TableRow"/>
              <w:rPr>
                <w:sz w:val="22"/>
                <w:szCs w:val="22"/>
              </w:rPr>
            </w:pPr>
            <w:r w:rsidRPr="00BD1638">
              <w:rPr>
                <w:sz w:val="22"/>
                <w:szCs w:val="22"/>
              </w:rPr>
              <w:t>School CAMHS Clinician</w:t>
            </w:r>
          </w:p>
        </w:tc>
        <w:tc>
          <w:tcPr>
            <w:tcW w:w="3119" w:type="dxa"/>
            <w:gridSpan w:val="2"/>
          </w:tcPr>
          <w:p w:rsidR="002C37B2" w:rsidRPr="00BD1638" w:rsidRDefault="002C37B2" w:rsidP="00BD659F">
            <w:pPr>
              <w:pStyle w:val="TableRow"/>
              <w:rPr>
                <w:sz w:val="22"/>
                <w:szCs w:val="22"/>
              </w:rPr>
            </w:pPr>
            <w:r w:rsidRPr="00BD1638">
              <w:rPr>
                <w:sz w:val="22"/>
                <w:szCs w:val="22"/>
              </w:rPr>
              <w:t>Review and revision of Appendix A targets</w:t>
            </w:r>
          </w:p>
        </w:tc>
        <w:tc>
          <w:tcPr>
            <w:tcW w:w="1559" w:type="dxa"/>
          </w:tcPr>
          <w:p w:rsidR="002C37B2" w:rsidRPr="00BD1638" w:rsidRDefault="005174A8" w:rsidP="00BD659F">
            <w:pPr>
              <w:pStyle w:val="TableRow"/>
              <w:rPr>
                <w:sz w:val="22"/>
                <w:szCs w:val="22"/>
              </w:rPr>
            </w:pPr>
            <w:r>
              <w:rPr>
                <w:sz w:val="22"/>
                <w:szCs w:val="22"/>
              </w:rPr>
              <w:t>27/09/2019</w:t>
            </w:r>
          </w:p>
        </w:tc>
        <w:tc>
          <w:tcPr>
            <w:tcW w:w="1559" w:type="dxa"/>
            <w:vMerge w:val="restart"/>
          </w:tcPr>
          <w:p w:rsidR="002C37B2" w:rsidRDefault="005174A8" w:rsidP="00BD659F">
            <w:pPr>
              <w:pStyle w:val="TableRow"/>
              <w:rPr>
                <w:sz w:val="22"/>
                <w:szCs w:val="22"/>
              </w:rPr>
            </w:pPr>
            <w:r>
              <w:rPr>
                <w:sz w:val="22"/>
                <w:szCs w:val="22"/>
              </w:rPr>
              <w:t>21/01/2020</w:t>
            </w:r>
          </w:p>
          <w:p w:rsidR="00846BB5" w:rsidRPr="00BD1638" w:rsidRDefault="005174A8" w:rsidP="00BD659F">
            <w:pPr>
              <w:pStyle w:val="TableRow"/>
              <w:rPr>
                <w:sz w:val="22"/>
                <w:szCs w:val="22"/>
              </w:rPr>
            </w:pPr>
            <w:r>
              <w:rPr>
                <w:sz w:val="22"/>
                <w:szCs w:val="22"/>
              </w:rPr>
              <w:t>07/07/2020</w:t>
            </w:r>
          </w:p>
        </w:tc>
        <w:tc>
          <w:tcPr>
            <w:tcW w:w="993" w:type="dxa"/>
            <w:vMerge w:val="restart"/>
          </w:tcPr>
          <w:p w:rsidR="002C37B2" w:rsidRPr="00BD1638" w:rsidRDefault="002C37B2" w:rsidP="00137CA7">
            <w:pPr>
              <w:pStyle w:val="TableRow"/>
              <w:rPr>
                <w:sz w:val="22"/>
                <w:szCs w:val="22"/>
              </w:rPr>
            </w:pPr>
            <w:r w:rsidRPr="00BD1638">
              <w:rPr>
                <w:sz w:val="22"/>
                <w:szCs w:val="22"/>
              </w:rPr>
              <w:t>£</w:t>
            </w:r>
            <w:r w:rsidR="00937FA5">
              <w:rPr>
                <w:sz w:val="22"/>
                <w:szCs w:val="22"/>
              </w:rPr>
              <w:t>190</w:t>
            </w:r>
          </w:p>
        </w:tc>
        <w:tc>
          <w:tcPr>
            <w:tcW w:w="1134" w:type="dxa"/>
            <w:vMerge w:val="restart"/>
          </w:tcPr>
          <w:p w:rsidR="002C37B2" w:rsidRPr="00BD1638" w:rsidRDefault="00964A7A" w:rsidP="00937FA5">
            <w:pPr>
              <w:pStyle w:val="TableRow"/>
              <w:rPr>
                <w:sz w:val="22"/>
                <w:szCs w:val="22"/>
              </w:rPr>
            </w:pPr>
            <w:r>
              <w:rPr>
                <w:sz w:val="22"/>
                <w:szCs w:val="22"/>
              </w:rPr>
              <w:t>£</w:t>
            </w:r>
            <w:r w:rsidR="00937FA5">
              <w:rPr>
                <w:sz w:val="22"/>
                <w:szCs w:val="22"/>
              </w:rPr>
              <w:t>3,040</w:t>
            </w:r>
          </w:p>
        </w:tc>
      </w:tr>
      <w:tr w:rsidR="002C37B2" w:rsidRPr="00BD1638" w:rsidTr="00BD659F">
        <w:trPr>
          <w:trHeight w:val="627"/>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Assessments completed by School CAMHS clinician</w:t>
            </w:r>
          </w:p>
        </w:tc>
        <w:tc>
          <w:tcPr>
            <w:tcW w:w="1559" w:type="dxa"/>
          </w:tcPr>
          <w:p w:rsidR="002C37B2" w:rsidRPr="00BD1638" w:rsidRDefault="005174A8" w:rsidP="00BD659F">
            <w:pPr>
              <w:pStyle w:val="TableRow"/>
              <w:rPr>
                <w:sz w:val="22"/>
                <w:szCs w:val="22"/>
              </w:rPr>
            </w:pPr>
            <w:r>
              <w:rPr>
                <w:sz w:val="22"/>
                <w:szCs w:val="22"/>
              </w:rPr>
              <w:t>18/10/2019</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834"/>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Review with CAMHS clinician, pupils and parents in link Annual Review</w:t>
            </w:r>
          </w:p>
        </w:tc>
        <w:tc>
          <w:tcPr>
            <w:tcW w:w="1559" w:type="dxa"/>
          </w:tcPr>
          <w:p w:rsidR="002C37B2" w:rsidRPr="00BD1638" w:rsidRDefault="005174A8" w:rsidP="00BD659F">
            <w:pPr>
              <w:pStyle w:val="TableRow"/>
              <w:rPr>
                <w:sz w:val="22"/>
                <w:szCs w:val="22"/>
              </w:rPr>
            </w:pPr>
            <w:r>
              <w:rPr>
                <w:sz w:val="22"/>
                <w:szCs w:val="22"/>
              </w:rPr>
              <w:t>17/05/2020</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536"/>
        </w:trPr>
        <w:tc>
          <w:tcPr>
            <w:tcW w:w="1809" w:type="dxa"/>
            <w:gridSpan w:val="2"/>
            <w:vMerge w:val="restart"/>
          </w:tcPr>
          <w:p w:rsidR="002C37B2" w:rsidRPr="00BD1638" w:rsidRDefault="002C37B2" w:rsidP="00BD659F">
            <w:pPr>
              <w:pStyle w:val="TableRow"/>
              <w:ind w:left="0"/>
              <w:rPr>
                <w:sz w:val="22"/>
                <w:szCs w:val="22"/>
              </w:rPr>
            </w:pPr>
            <w:r w:rsidRPr="00BD1638">
              <w:rPr>
                <w:sz w:val="22"/>
                <w:szCs w:val="22"/>
              </w:rPr>
              <w:t>Social communication skills improvement</w:t>
            </w:r>
          </w:p>
        </w:tc>
        <w:tc>
          <w:tcPr>
            <w:tcW w:w="2977" w:type="dxa"/>
            <w:vMerge w:val="restart"/>
          </w:tcPr>
          <w:p w:rsidR="002C37B2" w:rsidRPr="00BD1638" w:rsidRDefault="002C37B2" w:rsidP="00BD659F">
            <w:pPr>
              <w:pStyle w:val="TableRow"/>
              <w:rPr>
                <w:sz w:val="22"/>
                <w:szCs w:val="22"/>
              </w:rPr>
            </w:pPr>
            <w:r w:rsidRPr="00BD1638">
              <w:rPr>
                <w:sz w:val="22"/>
                <w:szCs w:val="22"/>
              </w:rPr>
              <w:t>100% achievement of relevant Appendix A targets</w:t>
            </w:r>
          </w:p>
          <w:p w:rsidR="002C37B2" w:rsidRPr="00BD1638" w:rsidRDefault="002C37B2" w:rsidP="00BD659F">
            <w:pPr>
              <w:pStyle w:val="TableRow"/>
              <w:rPr>
                <w:sz w:val="22"/>
                <w:szCs w:val="22"/>
              </w:rPr>
            </w:pPr>
            <w:r w:rsidRPr="00BD1638">
              <w:rPr>
                <w:sz w:val="22"/>
                <w:szCs w:val="22"/>
              </w:rPr>
              <w:t>Development of meaningful friendships both in and out of school</w:t>
            </w:r>
          </w:p>
          <w:p w:rsidR="002C37B2" w:rsidRPr="00BD1638" w:rsidRDefault="002C37B2" w:rsidP="00BD659F">
            <w:pPr>
              <w:pStyle w:val="TableRow"/>
              <w:rPr>
                <w:i/>
                <w:sz w:val="22"/>
                <w:szCs w:val="22"/>
              </w:rPr>
            </w:pPr>
            <w:r w:rsidRPr="00BD1638">
              <w:rPr>
                <w:sz w:val="22"/>
                <w:szCs w:val="22"/>
              </w:rPr>
              <w:t>Develop of interests in extra-curricular areas.</w:t>
            </w:r>
          </w:p>
        </w:tc>
        <w:tc>
          <w:tcPr>
            <w:tcW w:w="1559" w:type="dxa"/>
            <w:gridSpan w:val="2"/>
            <w:vMerge w:val="restart"/>
          </w:tcPr>
          <w:p w:rsidR="002C37B2" w:rsidRDefault="002C37B2" w:rsidP="00BD659F">
            <w:pPr>
              <w:pStyle w:val="TableRow"/>
              <w:ind w:left="0"/>
              <w:rPr>
                <w:sz w:val="22"/>
                <w:szCs w:val="22"/>
              </w:rPr>
            </w:pPr>
            <w:r w:rsidRPr="00BD1638">
              <w:rPr>
                <w:sz w:val="22"/>
                <w:szCs w:val="22"/>
              </w:rPr>
              <w:t>Deputy of the Courtyard: Behaviour and Safety</w:t>
            </w:r>
          </w:p>
          <w:p w:rsidR="00846BB5" w:rsidRPr="00BD1638" w:rsidRDefault="00846BB5" w:rsidP="00BD659F">
            <w:pPr>
              <w:pStyle w:val="TableRow"/>
              <w:ind w:left="0"/>
              <w:rPr>
                <w:sz w:val="22"/>
                <w:szCs w:val="22"/>
              </w:rPr>
            </w:pPr>
            <w:r>
              <w:rPr>
                <w:sz w:val="22"/>
                <w:szCs w:val="22"/>
              </w:rPr>
              <w:t>Speech and Language Therapist</w:t>
            </w:r>
          </w:p>
        </w:tc>
        <w:tc>
          <w:tcPr>
            <w:tcW w:w="3119" w:type="dxa"/>
            <w:gridSpan w:val="2"/>
          </w:tcPr>
          <w:p w:rsidR="002C37B2" w:rsidRPr="00BD1638" w:rsidRDefault="002C37B2" w:rsidP="00BD659F">
            <w:pPr>
              <w:pStyle w:val="TableRow"/>
              <w:rPr>
                <w:sz w:val="22"/>
                <w:szCs w:val="22"/>
              </w:rPr>
            </w:pPr>
            <w:r w:rsidRPr="00BD1638">
              <w:rPr>
                <w:sz w:val="22"/>
                <w:szCs w:val="22"/>
              </w:rPr>
              <w:t>Review and revision of Appendix A targets</w:t>
            </w:r>
          </w:p>
        </w:tc>
        <w:tc>
          <w:tcPr>
            <w:tcW w:w="1559" w:type="dxa"/>
          </w:tcPr>
          <w:p w:rsidR="002C37B2" w:rsidRPr="00BD1638" w:rsidRDefault="005174A8" w:rsidP="00BD659F">
            <w:pPr>
              <w:pStyle w:val="TableRow"/>
              <w:rPr>
                <w:sz w:val="22"/>
                <w:szCs w:val="22"/>
              </w:rPr>
            </w:pPr>
            <w:r>
              <w:rPr>
                <w:sz w:val="22"/>
                <w:szCs w:val="22"/>
              </w:rPr>
              <w:t>27/09/2019</w:t>
            </w:r>
          </w:p>
        </w:tc>
        <w:tc>
          <w:tcPr>
            <w:tcW w:w="1559" w:type="dxa"/>
            <w:vMerge w:val="restart"/>
          </w:tcPr>
          <w:p w:rsidR="00846BB5" w:rsidRPr="00BD1638" w:rsidRDefault="005174A8" w:rsidP="00846BB5">
            <w:pPr>
              <w:pStyle w:val="TableRow"/>
              <w:rPr>
                <w:sz w:val="22"/>
                <w:szCs w:val="22"/>
              </w:rPr>
            </w:pPr>
            <w:r>
              <w:rPr>
                <w:sz w:val="22"/>
                <w:szCs w:val="22"/>
              </w:rPr>
              <w:t>17/12/2019</w:t>
            </w:r>
          </w:p>
          <w:p w:rsidR="00846BB5" w:rsidRPr="00BD1638" w:rsidRDefault="005174A8" w:rsidP="00846BB5">
            <w:pPr>
              <w:pStyle w:val="TableRow"/>
              <w:rPr>
                <w:sz w:val="22"/>
                <w:szCs w:val="22"/>
              </w:rPr>
            </w:pPr>
            <w:r>
              <w:rPr>
                <w:sz w:val="22"/>
                <w:szCs w:val="22"/>
              </w:rPr>
              <w:t>17</w:t>
            </w:r>
            <w:r w:rsidR="00137CA7">
              <w:rPr>
                <w:sz w:val="22"/>
                <w:szCs w:val="22"/>
              </w:rPr>
              <w:t>/0</w:t>
            </w:r>
            <w:r>
              <w:rPr>
                <w:sz w:val="22"/>
                <w:szCs w:val="22"/>
              </w:rPr>
              <w:t>3/2020</w:t>
            </w:r>
          </w:p>
          <w:p w:rsidR="00846BB5" w:rsidRDefault="005174A8" w:rsidP="00846BB5">
            <w:pPr>
              <w:pStyle w:val="TableRow"/>
              <w:rPr>
                <w:sz w:val="22"/>
                <w:szCs w:val="22"/>
              </w:rPr>
            </w:pPr>
            <w:r>
              <w:rPr>
                <w:sz w:val="22"/>
                <w:szCs w:val="22"/>
              </w:rPr>
              <w:t>07</w:t>
            </w:r>
            <w:r w:rsidR="00846BB5">
              <w:rPr>
                <w:sz w:val="22"/>
                <w:szCs w:val="22"/>
              </w:rPr>
              <w:t>/07/20</w:t>
            </w:r>
            <w:r>
              <w:rPr>
                <w:sz w:val="22"/>
                <w:szCs w:val="22"/>
              </w:rPr>
              <w:t>20</w:t>
            </w:r>
          </w:p>
          <w:p w:rsidR="002C37B2" w:rsidRPr="00BD1638" w:rsidRDefault="002C37B2" w:rsidP="00BD659F">
            <w:pPr>
              <w:pStyle w:val="TableRow"/>
              <w:rPr>
                <w:sz w:val="22"/>
                <w:szCs w:val="22"/>
              </w:rPr>
            </w:pPr>
          </w:p>
        </w:tc>
        <w:tc>
          <w:tcPr>
            <w:tcW w:w="993" w:type="dxa"/>
            <w:vMerge w:val="restart"/>
          </w:tcPr>
          <w:p w:rsidR="002C37B2" w:rsidRPr="00BD1638" w:rsidRDefault="002C37B2" w:rsidP="00964A7A">
            <w:pPr>
              <w:pStyle w:val="TableRow"/>
              <w:rPr>
                <w:sz w:val="22"/>
                <w:szCs w:val="22"/>
              </w:rPr>
            </w:pPr>
            <w:r w:rsidRPr="00BD1638">
              <w:rPr>
                <w:sz w:val="22"/>
                <w:szCs w:val="22"/>
              </w:rPr>
              <w:t>£</w:t>
            </w:r>
            <w:r w:rsidR="00964A7A">
              <w:rPr>
                <w:sz w:val="22"/>
                <w:szCs w:val="22"/>
              </w:rPr>
              <w:t>202</w:t>
            </w:r>
          </w:p>
        </w:tc>
        <w:tc>
          <w:tcPr>
            <w:tcW w:w="1134" w:type="dxa"/>
            <w:vMerge w:val="restart"/>
          </w:tcPr>
          <w:p w:rsidR="002C37B2" w:rsidRPr="00BD1638" w:rsidRDefault="000555D8" w:rsidP="00964A7A">
            <w:pPr>
              <w:pStyle w:val="TableRow"/>
              <w:rPr>
                <w:sz w:val="22"/>
                <w:szCs w:val="22"/>
              </w:rPr>
            </w:pPr>
            <w:r>
              <w:rPr>
                <w:sz w:val="22"/>
                <w:szCs w:val="22"/>
              </w:rPr>
              <w:t>£</w:t>
            </w:r>
            <w:r w:rsidR="00937FA5">
              <w:rPr>
                <w:sz w:val="22"/>
                <w:szCs w:val="22"/>
              </w:rPr>
              <w:t>3,232</w:t>
            </w:r>
          </w:p>
        </w:tc>
      </w:tr>
      <w:tr w:rsidR="002C37B2" w:rsidRPr="00BD1638" w:rsidTr="00BD659F">
        <w:trPr>
          <w:trHeight w:val="844"/>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Creation and termly enrolment in fulfilling enrichment opportunities</w:t>
            </w:r>
          </w:p>
        </w:tc>
        <w:tc>
          <w:tcPr>
            <w:tcW w:w="1559" w:type="dxa"/>
          </w:tcPr>
          <w:p w:rsidR="002C37B2" w:rsidRPr="00BD1638" w:rsidRDefault="005174A8" w:rsidP="00BD659F">
            <w:pPr>
              <w:pStyle w:val="TableRow"/>
              <w:rPr>
                <w:sz w:val="22"/>
                <w:szCs w:val="22"/>
              </w:rPr>
            </w:pPr>
            <w:r>
              <w:rPr>
                <w:sz w:val="22"/>
                <w:szCs w:val="22"/>
              </w:rPr>
              <w:t>27/09/2019</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1012"/>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Review of Appendix A targets and engagement in enrichment opportunities</w:t>
            </w:r>
          </w:p>
        </w:tc>
        <w:tc>
          <w:tcPr>
            <w:tcW w:w="1559" w:type="dxa"/>
          </w:tcPr>
          <w:p w:rsidR="002C37B2" w:rsidRPr="00BD1638" w:rsidRDefault="005174A8" w:rsidP="00BD659F">
            <w:pPr>
              <w:pStyle w:val="TableRow"/>
              <w:rPr>
                <w:sz w:val="22"/>
                <w:szCs w:val="22"/>
              </w:rPr>
            </w:pPr>
            <w:r>
              <w:rPr>
                <w:sz w:val="22"/>
                <w:szCs w:val="22"/>
              </w:rPr>
              <w:t>17/12/2019</w:t>
            </w:r>
          </w:p>
          <w:p w:rsidR="002C37B2" w:rsidRPr="00BD1638" w:rsidRDefault="005174A8" w:rsidP="00BD659F">
            <w:pPr>
              <w:pStyle w:val="TableRow"/>
              <w:rPr>
                <w:sz w:val="22"/>
                <w:szCs w:val="22"/>
              </w:rPr>
            </w:pPr>
            <w:r>
              <w:rPr>
                <w:sz w:val="22"/>
                <w:szCs w:val="22"/>
              </w:rPr>
              <w:t>17/03/2020</w:t>
            </w:r>
          </w:p>
          <w:p w:rsidR="002C37B2" w:rsidRDefault="005174A8" w:rsidP="00BD659F">
            <w:pPr>
              <w:pStyle w:val="TableRow"/>
              <w:rPr>
                <w:sz w:val="22"/>
                <w:szCs w:val="22"/>
              </w:rPr>
            </w:pPr>
            <w:r>
              <w:rPr>
                <w:sz w:val="22"/>
                <w:szCs w:val="22"/>
              </w:rPr>
              <w:t>07/07/2020</w:t>
            </w:r>
          </w:p>
          <w:p w:rsidR="002C37B2" w:rsidRPr="00BD1638" w:rsidRDefault="002C37B2" w:rsidP="00BD659F">
            <w:pPr>
              <w:pStyle w:val="TableRow"/>
              <w:rPr>
                <w:sz w:val="22"/>
                <w:szCs w:val="22"/>
              </w:rPr>
            </w:pP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245"/>
        </w:trPr>
        <w:tc>
          <w:tcPr>
            <w:tcW w:w="1809" w:type="dxa"/>
            <w:gridSpan w:val="2"/>
            <w:vMerge w:val="restart"/>
          </w:tcPr>
          <w:p w:rsidR="002C37B2" w:rsidRPr="00BD1638" w:rsidRDefault="002C37B2" w:rsidP="00BD659F">
            <w:pPr>
              <w:pStyle w:val="TableRow"/>
              <w:rPr>
                <w:sz w:val="22"/>
                <w:szCs w:val="22"/>
              </w:rPr>
            </w:pPr>
            <w:r w:rsidRPr="00BD1638">
              <w:rPr>
                <w:sz w:val="22"/>
                <w:szCs w:val="22"/>
              </w:rPr>
              <w:t>Improved speech, language and communication skills</w:t>
            </w:r>
          </w:p>
        </w:tc>
        <w:tc>
          <w:tcPr>
            <w:tcW w:w="2977" w:type="dxa"/>
            <w:vMerge w:val="restart"/>
          </w:tcPr>
          <w:p w:rsidR="002C37B2" w:rsidRPr="00BD1638" w:rsidRDefault="002C37B2" w:rsidP="00BD659F">
            <w:pPr>
              <w:pStyle w:val="TableRow"/>
              <w:rPr>
                <w:sz w:val="22"/>
                <w:szCs w:val="22"/>
              </w:rPr>
            </w:pPr>
            <w:r w:rsidRPr="00BD1638">
              <w:rPr>
                <w:sz w:val="22"/>
                <w:szCs w:val="22"/>
              </w:rPr>
              <w:t>ASD related impairments</w:t>
            </w:r>
          </w:p>
          <w:p w:rsidR="002C37B2" w:rsidRPr="00BD1638" w:rsidRDefault="002C37B2" w:rsidP="00BD659F">
            <w:pPr>
              <w:pStyle w:val="TableRow"/>
              <w:rPr>
                <w:sz w:val="22"/>
                <w:szCs w:val="22"/>
              </w:rPr>
            </w:pPr>
            <w:r w:rsidRPr="00BD1638">
              <w:rPr>
                <w:sz w:val="22"/>
                <w:szCs w:val="22"/>
              </w:rPr>
              <w:t>Diagnosis of SLC needs</w:t>
            </w:r>
          </w:p>
        </w:tc>
        <w:tc>
          <w:tcPr>
            <w:tcW w:w="1559" w:type="dxa"/>
            <w:gridSpan w:val="2"/>
            <w:vMerge w:val="restart"/>
          </w:tcPr>
          <w:p w:rsidR="002C37B2" w:rsidRPr="00BD1638" w:rsidRDefault="002C37B2" w:rsidP="00BD659F">
            <w:pPr>
              <w:pStyle w:val="TableRow"/>
              <w:rPr>
                <w:sz w:val="22"/>
                <w:szCs w:val="22"/>
              </w:rPr>
            </w:pPr>
            <w:r w:rsidRPr="00BD1638">
              <w:rPr>
                <w:sz w:val="22"/>
                <w:szCs w:val="22"/>
              </w:rPr>
              <w:t>Head of the Courtyard</w:t>
            </w:r>
          </w:p>
          <w:p w:rsidR="002C37B2" w:rsidRPr="00BD1638" w:rsidRDefault="00846BB5" w:rsidP="00BD659F">
            <w:pPr>
              <w:pStyle w:val="TableRow"/>
              <w:rPr>
                <w:sz w:val="22"/>
                <w:szCs w:val="22"/>
              </w:rPr>
            </w:pPr>
            <w:r>
              <w:rPr>
                <w:sz w:val="22"/>
                <w:szCs w:val="22"/>
              </w:rPr>
              <w:t>Speech and Language Therapist</w:t>
            </w:r>
          </w:p>
        </w:tc>
        <w:tc>
          <w:tcPr>
            <w:tcW w:w="3119" w:type="dxa"/>
            <w:gridSpan w:val="2"/>
          </w:tcPr>
          <w:p w:rsidR="002C37B2" w:rsidRPr="00BD1638" w:rsidRDefault="002C37B2" w:rsidP="00BD659F">
            <w:pPr>
              <w:pStyle w:val="TableRow"/>
              <w:rPr>
                <w:sz w:val="22"/>
                <w:szCs w:val="22"/>
              </w:rPr>
            </w:pPr>
            <w:r w:rsidRPr="00BD1638">
              <w:rPr>
                <w:sz w:val="22"/>
                <w:szCs w:val="22"/>
              </w:rPr>
              <w:t>Review of S&amp;L recommendations in pupil EHCPs and creation of SLC targets</w:t>
            </w:r>
          </w:p>
        </w:tc>
        <w:tc>
          <w:tcPr>
            <w:tcW w:w="1559" w:type="dxa"/>
          </w:tcPr>
          <w:p w:rsidR="002C37B2" w:rsidRPr="00BD1638" w:rsidRDefault="005174A8" w:rsidP="00BD659F">
            <w:pPr>
              <w:pStyle w:val="TableRow"/>
              <w:rPr>
                <w:sz w:val="22"/>
                <w:szCs w:val="22"/>
              </w:rPr>
            </w:pPr>
            <w:r>
              <w:rPr>
                <w:sz w:val="22"/>
                <w:szCs w:val="22"/>
              </w:rPr>
              <w:t>27/09/2019</w:t>
            </w:r>
          </w:p>
        </w:tc>
        <w:tc>
          <w:tcPr>
            <w:tcW w:w="1559" w:type="dxa"/>
            <w:vMerge w:val="restart"/>
          </w:tcPr>
          <w:p w:rsidR="005174A8" w:rsidRPr="00BD1638" w:rsidRDefault="005174A8" w:rsidP="005174A8">
            <w:pPr>
              <w:pStyle w:val="TableRow"/>
              <w:rPr>
                <w:sz w:val="22"/>
                <w:szCs w:val="22"/>
              </w:rPr>
            </w:pPr>
            <w:r>
              <w:rPr>
                <w:sz w:val="22"/>
                <w:szCs w:val="22"/>
              </w:rPr>
              <w:t>17/12/2019</w:t>
            </w:r>
          </w:p>
          <w:p w:rsidR="005174A8" w:rsidRPr="00BD1638" w:rsidRDefault="005174A8" w:rsidP="005174A8">
            <w:pPr>
              <w:pStyle w:val="TableRow"/>
              <w:rPr>
                <w:sz w:val="22"/>
                <w:szCs w:val="22"/>
              </w:rPr>
            </w:pPr>
            <w:r>
              <w:rPr>
                <w:sz w:val="22"/>
                <w:szCs w:val="22"/>
              </w:rPr>
              <w:t>17/03/2020</w:t>
            </w:r>
          </w:p>
          <w:p w:rsidR="005174A8" w:rsidRDefault="005174A8" w:rsidP="005174A8">
            <w:pPr>
              <w:pStyle w:val="TableRow"/>
              <w:rPr>
                <w:sz w:val="22"/>
                <w:szCs w:val="22"/>
              </w:rPr>
            </w:pPr>
            <w:r>
              <w:rPr>
                <w:sz w:val="22"/>
                <w:szCs w:val="22"/>
              </w:rPr>
              <w:t>07/07/2020</w:t>
            </w:r>
          </w:p>
          <w:p w:rsidR="002C37B2" w:rsidRPr="00BD1638" w:rsidRDefault="002C37B2" w:rsidP="00BD659F">
            <w:pPr>
              <w:pStyle w:val="TableRow"/>
              <w:rPr>
                <w:sz w:val="22"/>
                <w:szCs w:val="22"/>
              </w:rPr>
            </w:pPr>
          </w:p>
        </w:tc>
        <w:tc>
          <w:tcPr>
            <w:tcW w:w="993" w:type="dxa"/>
            <w:vMerge w:val="restart"/>
          </w:tcPr>
          <w:p w:rsidR="002C37B2" w:rsidRPr="00BD1638" w:rsidRDefault="000555D8" w:rsidP="00BD659F">
            <w:pPr>
              <w:pStyle w:val="TableRow"/>
              <w:rPr>
                <w:sz w:val="22"/>
                <w:szCs w:val="22"/>
              </w:rPr>
            </w:pPr>
            <w:r>
              <w:rPr>
                <w:sz w:val="22"/>
                <w:szCs w:val="22"/>
              </w:rPr>
              <w:t>£245</w:t>
            </w:r>
          </w:p>
        </w:tc>
        <w:tc>
          <w:tcPr>
            <w:tcW w:w="1134" w:type="dxa"/>
            <w:vMerge w:val="restart"/>
          </w:tcPr>
          <w:p w:rsidR="002C37B2" w:rsidRPr="00BD1638" w:rsidRDefault="002C37B2" w:rsidP="00937FA5">
            <w:pPr>
              <w:pStyle w:val="TableRow"/>
              <w:rPr>
                <w:sz w:val="22"/>
                <w:szCs w:val="22"/>
              </w:rPr>
            </w:pPr>
            <w:r w:rsidRPr="00BD1638">
              <w:rPr>
                <w:sz w:val="22"/>
                <w:szCs w:val="22"/>
              </w:rPr>
              <w:t>£</w:t>
            </w:r>
            <w:r w:rsidR="00937FA5">
              <w:rPr>
                <w:sz w:val="22"/>
                <w:szCs w:val="22"/>
              </w:rPr>
              <w:t>3,920</w:t>
            </w:r>
          </w:p>
        </w:tc>
      </w:tr>
      <w:tr w:rsidR="002C37B2" w:rsidRPr="00BD1638" w:rsidTr="00BD659F">
        <w:trPr>
          <w:trHeight w:val="245"/>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 xml:space="preserve">Assessment of pupil needs by </w:t>
            </w:r>
            <w:proofErr w:type="spellStart"/>
            <w:r w:rsidRPr="00BD1638">
              <w:rPr>
                <w:sz w:val="22"/>
                <w:szCs w:val="22"/>
              </w:rPr>
              <w:t>SaLT</w:t>
            </w:r>
            <w:proofErr w:type="spellEnd"/>
            <w:r w:rsidRPr="00BD1638">
              <w:rPr>
                <w:sz w:val="22"/>
                <w:szCs w:val="22"/>
              </w:rPr>
              <w:t xml:space="preserve"> and Head</w:t>
            </w:r>
          </w:p>
        </w:tc>
        <w:tc>
          <w:tcPr>
            <w:tcW w:w="1559" w:type="dxa"/>
          </w:tcPr>
          <w:p w:rsidR="002C37B2" w:rsidRPr="00BD1638" w:rsidRDefault="005174A8" w:rsidP="00BD659F">
            <w:pPr>
              <w:pStyle w:val="TableRow"/>
              <w:rPr>
                <w:sz w:val="22"/>
                <w:szCs w:val="22"/>
              </w:rPr>
            </w:pPr>
            <w:r>
              <w:rPr>
                <w:sz w:val="22"/>
                <w:szCs w:val="22"/>
              </w:rPr>
              <w:t>27/09/2019</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338"/>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846BB5">
            <w:pPr>
              <w:pStyle w:val="TableRow"/>
              <w:rPr>
                <w:sz w:val="22"/>
                <w:szCs w:val="22"/>
              </w:rPr>
            </w:pPr>
            <w:r w:rsidRPr="00BD1638">
              <w:rPr>
                <w:sz w:val="22"/>
                <w:szCs w:val="22"/>
              </w:rPr>
              <w:t xml:space="preserve">Commencement of </w:t>
            </w:r>
            <w:r w:rsidR="00846BB5">
              <w:rPr>
                <w:sz w:val="22"/>
                <w:szCs w:val="22"/>
              </w:rPr>
              <w:t>specific</w:t>
            </w:r>
            <w:r w:rsidRPr="00BD1638">
              <w:rPr>
                <w:sz w:val="22"/>
                <w:szCs w:val="22"/>
              </w:rPr>
              <w:t xml:space="preserve"> S&amp;L provision</w:t>
            </w:r>
          </w:p>
        </w:tc>
        <w:tc>
          <w:tcPr>
            <w:tcW w:w="1559" w:type="dxa"/>
          </w:tcPr>
          <w:p w:rsidR="002C37B2" w:rsidRPr="00BD1638" w:rsidRDefault="005174A8" w:rsidP="00BD659F">
            <w:pPr>
              <w:pStyle w:val="TableRow"/>
              <w:rPr>
                <w:sz w:val="22"/>
                <w:szCs w:val="22"/>
              </w:rPr>
            </w:pPr>
            <w:r>
              <w:rPr>
                <w:sz w:val="22"/>
                <w:szCs w:val="22"/>
              </w:rPr>
              <w:t>07/10/2010</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337"/>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 xml:space="preserve">Review/amendment of </w:t>
            </w:r>
            <w:r w:rsidRPr="00BD1638">
              <w:rPr>
                <w:sz w:val="22"/>
                <w:szCs w:val="22"/>
              </w:rPr>
              <w:lastRenderedPageBreak/>
              <w:t>targets and suitable provision</w:t>
            </w:r>
          </w:p>
        </w:tc>
        <w:tc>
          <w:tcPr>
            <w:tcW w:w="1559" w:type="dxa"/>
          </w:tcPr>
          <w:p w:rsidR="005174A8" w:rsidRPr="00BD1638" w:rsidRDefault="005174A8" w:rsidP="005174A8">
            <w:pPr>
              <w:pStyle w:val="TableRow"/>
              <w:rPr>
                <w:sz w:val="22"/>
                <w:szCs w:val="22"/>
              </w:rPr>
            </w:pPr>
            <w:r>
              <w:rPr>
                <w:sz w:val="22"/>
                <w:szCs w:val="22"/>
              </w:rPr>
              <w:lastRenderedPageBreak/>
              <w:t>17/12/2019</w:t>
            </w:r>
          </w:p>
          <w:p w:rsidR="005174A8" w:rsidRPr="00BD1638" w:rsidRDefault="005174A8" w:rsidP="005174A8">
            <w:pPr>
              <w:pStyle w:val="TableRow"/>
              <w:rPr>
                <w:sz w:val="22"/>
                <w:szCs w:val="22"/>
              </w:rPr>
            </w:pPr>
            <w:r>
              <w:rPr>
                <w:sz w:val="22"/>
                <w:szCs w:val="22"/>
              </w:rPr>
              <w:lastRenderedPageBreak/>
              <w:t>17/03/2020</w:t>
            </w:r>
          </w:p>
          <w:p w:rsidR="002C37B2" w:rsidRPr="00BD1638" w:rsidRDefault="005174A8" w:rsidP="005174A8">
            <w:pPr>
              <w:pStyle w:val="TableRow"/>
              <w:rPr>
                <w:sz w:val="22"/>
                <w:szCs w:val="22"/>
              </w:rPr>
            </w:pPr>
            <w:r>
              <w:rPr>
                <w:sz w:val="22"/>
                <w:szCs w:val="22"/>
              </w:rPr>
              <w:t>07/07/2020</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734"/>
        </w:trPr>
        <w:tc>
          <w:tcPr>
            <w:tcW w:w="1809" w:type="dxa"/>
            <w:gridSpan w:val="2"/>
            <w:vMerge w:val="restart"/>
          </w:tcPr>
          <w:p w:rsidR="002C37B2" w:rsidRPr="00BD1638" w:rsidRDefault="002C37B2" w:rsidP="00BD659F">
            <w:pPr>
              <w:pStyle w:val="TableRow"/>
              <w:rPr>
                <w:sz w:val="22"/>
                <w:szCs w:val="22"/>
              </w:rPr>
            </w:pPr>
            <w:r w:rsidRPr="00BD1638">
              <w:rPr>
                <w:sz w:val="22"/>
                <w:szCs w:val="22"/>
              </w:rPr>
              <w:t>Improved reading levels</w:t>
            </w:r>
          </w:p>
        </w:tc>
        <w:tc>
          <w:tcPr>
            <w:tcW w:w="2977" w:type="dxa"/>
            <w:vMerge w:val="restart"/>
          </w:tcPr>
          <w:p w:rsidR="002C37B2" w:rsidRPr="00BD1638" w:rsidRDefault="002C37B2" w:rsidP="00BD659F">
            <w:pPr>
              <w:pStyle w:val="TableRow"/>
              <w:rPr>
                <w:sz w:val="22"/>
                <w:szCs w:val="22"/>
              </w:rPr>
            </w:pPr>
            <w:r w:rsidRPr="00BD1638">
              <w:rPr>
                <w:sz w:val="22"/>
                <w:szCs w:val="22"/>
              </w:rPr>
              <w:t>Disengagement</w:t>
            </w:r>
          </w:p>
          <w:p w:rsidR="002C37B2" w:rsidRPr="00BD1638" w:rsidRDefault="002C37B2" w:rsidP="00BD659F">
            <w:pPr>
              <w:pStyle w:val="TableRow"/>
              <w:rPr>
                <w:sz w:val="22"/>
                <w:szCs w:val="22"/>
              </w:rPr>
            </w:pPr>
            <w:r w:rsidRPr="00BD1638">
              <w:rPr>
                <w:sz w:val="22"/>
                <w:szCs w:val="22"/>
              </w:rPr>
              <w:t>ASD related impairments (flexibility of thought, literal thinking)</w:t>
            </w:r>
          </w:p>
        </w:tc>
        <w:tc>
          <w:tcPr>
            <w:tcW w:w="1559" w:type="dxa"/>
            <w:gridSpan w:val="2"/>
            <w:vMerge w:val="restart"/>
          </w:tcPr>
          <w:p w:rsidR="002C37B2" w:rsidRPr="00BD1638" w:rsidRDefault="002C37B2" w:rsidP="00BD659F">
            <w:pPr>
              <w:pStyle w:val="TableRow"/>
              <w:rPr>
                <w:sz w:val="22"/>
                <w:szCs w:val="22"/>
              </w:rPr>
            </w:pPr>
            <w:r w:rsidRPr="00BD1638">
              <w:rPr>
                <w:sz w:val="22"/>
                <w:szCs w:val="22"/>
              </w:rPr>
              <w:t>Deputy of the Courtyard: Teaching and Learning</w:t>
            </w:r>
          </w:p>
        </w:tc>
        <w:tc>
          <w:tcPr>
            <w:tcW w:w="3119" w:type="dxa"/>
            <w:gridSpan w:val="2"/>
          </w:tcPr>
          <w:p w:rsidR="002C37B2" w:rsidRPr="00BD1638" w:rsidRDefault="002C37B2" w:rsidP="00BD659F">
            <w:pPr>
              <w:pStyle w:val="TableRow"/>
              <w:rPr>
                <w:sz w:val="22"/>
                <w:szCs w:val="22"/>
              </w:rPr>
            </w:pPr>
            <w:r w:rsidRPr="00BD1638">
              <w:rPr>
                <w:sz w:val="22"/>
                <w:szCs w:val="22"/>
              </w:rPr>
              <w:t>Baseline assessments of reading ages</w:t>
            </w:r>
          </w:p>
        </w:tc>
        <w:tc>
          <w:tcPr>
            <w:tcW w:w="1559" w:type="dxa"/>
          </w:tcPr>
          <w:p w:rsidR="002C37B2" w:rsidRPr="00BD1638" w:rsidRDefault="005174A8" w:rsidP="00BD659F">
            <w:pPr>
              <w:pStyle w:val="TableRow"/>
              <w:rPr>
                <w:sz w:val="22"/>
                <w:szCs w:val="22"/>
              </w:rPr>
            </w:pPr>
            <w:r>
              <w:rPr>
                <w:sz w:val="22"/>
                <w:szCs w:val="22"/>
              </w:rPr>
              <w:t>27/09/2019</w:t>
            </w:r>
          </w:p>
        </w:tc>
        <w:tc>
          <w:tcPr>
            <w:tcW w:w="1559" w:type="dxa"/>
            <w:vMerge w:val="restart"/>
          </w:tcPr>
          <w:p w:rsidR="005174A8" w:rsidRPr="00BD1638" w:rsidRDefault="005174A8" w:rsidP="005174A8">
            <w:pPr>
              <w:pStyle w:val="TableRow"/>
              <w:rPr>
                <w:sz w:val="22"/>
                <w:szCs w:val="22"/>
              </w:rPr>
            </w:pPr>
            <w:r>
              <w:rPr>
                <w:sz w:val="22"/>
                <w:szCs w:val="22"/>
              </w:rPr>
              <w:t>17/12/2019</w:t>
            </w:r>
          </w:p>
          <w:p w:rsidR="005174A8" w:rsidRPr="00BD1638" w:rsidRDefault="005174A8" w:rsidP="005174A8">
            <w:pPr>
              <w:pStyle w:val="TableRow"/>
              <w:rPr>
                <w:sz w:val="22"/>
                <w:szCs w:val="22"/>
              </w:rPr>
            </w:pPr>
            <w:r>
              <w:rPr>
                <w:sz w:val="22"/>
                <w:szCs w:val="22"/>
              </w:rPr>
              <w:t>17/03/2020</w:t>
            </w:r>
          </w:p>
          <w:p w:rsidR="002C37B2" w:rsidRPr="00BD1638" w:rsidRDefault="005174A8" w:rsidP="005174A8">
            <w:pPr>
              <w:pStyle w:val="TableRow"/>
              <w:rPr>
                <w:sz w:val="22"/>
                <w:szCs w:val="22"/>
              </w:rPr>
            </w:pPr>
            <w:r>
              <w:rPr>
                <w:sz w:val="22"/>
                <w:szCs w:val="22"/>
              </w:rPr>
              <w:t>07/07/2020</w:t>
            </w:r>
          </w:p>
        </w:tc>
        <w:tc>
          <w:tcPr>
            <w:tcW w:w="993" w:type="dxa"/>
            <w:vMerge w:val="restart"/>
          </w:tcPr>
          <w:p w:rsidR="002C37B2" w:rsidRPr="00BD1638" w:rsidRDefault="00A4082F" w:rsidP="00964A7A">
            <w:pPr>
              <w:pStyle w:val="TableRow"/>
              <w:rPr>
                <w:sz w:val="22"/>
                <w:szCs w:val="22"/>
              </w:rPr>
            </w:pPr>
            <w:r>
              <w:rPr>
                <w:sz w:val="22"/>
                <w:szCs w:val="22"/>
              </w:rPr>
              <w:t>£</w:t>
            </w:r>
            <w:r w:rsidR="007F4E70">
              <w:rPr>
                <w:sz w:val="22"/>
                <w:szCs w:val="22"/>
              </w:rPr>
              <w:t>298</w:t>
            </w:r>
            <w:r w:rsidR="003D7F41">
              <w:rPr>
                <w:sz w:val="22"/>
                <w:szCs w:val="22"/>
              </w:rPr>
              <w:t xml:space="preserve"> </w:t>
            </w:r>
          </w:p>
        </w:tc>
        <w:tc>
          <w:tcPr>
            <w:tcW w:w="1134" w:type="dxa"/>
            <w:vMerge w:val="restart"/>
          </w:tcPr>
          <w:p w:rsidR="002C37B2" w:rsidRPr="00BD1638" w:rsidRDefault="00740FC6" w:rsidP="00937FA5">
            <w:pPr>
              <w:pStyle w:val="TableRow"/>
              <w:rPr>
                <w:sz w:val="22"/>
                <w:szCs w:val="22"/>
              </w:rPr>
            </w:pPr>
            <w:r>
              <w:rPr>
                <w:sz w:val="22"/>
                <w:szCs w:val="22"/>
              </w:rPr>
              <w:t>£</w:t>
            </w:r>
            <w:r w:rsidR="00937FA5">
              <w:rPr>
                <w:sz w:val="22"/>
                <w:szCs w:val="22"/>
              </w:rPr>
              <w:t>4,768</w:t>
            </w:r>
          </w:p>
        </w:tc>
      </w:tr>
      <w:tr w:rsidR="002C37B2" w:rsidRPr="00BD1638" w:rsidTr="00BD659F">
        <w:trPr>
          <w:trHeight w:val="518"/>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Commencement of effective reading programme</w:t>
            </w:r>
          </w:p>
        </w:tc>
        <w:tc>
          <w:tcPr>
            <w:tcW w:w="1559" w:type="dxa"/>
          </w:tcPr>
          <w:p w:rsidR="002C37B2" w:rsidRPr="00BD1638" w:rsidRDefault="005174A8" w:rsidP="005174A8">
            <w:pPr>
              <w:pStyle w:val="TableRow"/>
              <w:rPr>
                <w:sz w:val="22"/>
                <w:szCs w:val="22"/>
              </w:rPr>
            </w:pPr>
            <w:r>
              <w:rPr>
                <w:sz w:val="22"/>
                <w:szCs w:val="22"/>
              </w:rPr>
              <w:t>30/09/2019</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517"/>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Termly monitoring of reading level progress and achievement</w:t>
            </w:r>
          </w:p>
        </w:tc>
        <w:tc>
          <w:tcPr>
            <w:tcW w:w="1559" w:type="dxa"/>
          </w:tcPr>
          <w:p w:rsidR="005174A8" w:rsidRPr="00BD1638" w:rsidRDefault="005174A8" w:rsidP="005174A8">
            <w:pPr>
              <w:pStyle w:val="TableRow"/>
              <w:rPr>
                <w:sz w:val="22"/>
                <w:szCs w:val="22"/>
              </w:rPr>
            </w:pPr>
            <w:r>
              <w:rPr>
                <w:sz w:val="22"/>
                <w:szCs w:val="22"/>
              </w:rPr>
              <w:t>17/12/2019</w:t>
            </w:r>
          </w:p>
          <w:p w:rsidR="005174A8" w:rsidRPr="00BD1638" w:rsidRDefault="005174A8" w:rsidP="005174A8">
            <w:pPr>
              <w:pStyle w:val="TableRow"/>
              <w:rPr>
                <w:sz w:val="22"/>
                <w:szCs w:val="22"/>
              </w:rPr>
            </w:pPr>
            <w:r>
              <w:rPr>
                <w:sz w:val="22"/>
                <w:szCs w:val="22"/>
              </w:rPr>
              <w:t>17/03/2020</w:t>
            </w:r>
          </w:p>
          <w:p w:rsidR="002C37B2" w:rsidRPr="00BD1638" w:rsidRDefault="005174A8" w:rsidP="005174A8">
            <w:pPr>
              <w:pStyle w:val="TableRow"/>
              <w:rPr>
                <w:sz w:val="22"/>
                <w:szCs w:val="22"/>
              </w:rPr>
            </w:pPr>
            <w:r>
              <w:rPr>
                <w:sz w:val="22"/>
                <w:szCs w:val="22"/>
              </w:rPr>
              <w:t>07/07/2020</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413"/>
        </w:trPr>
        <w:tc>
          <w:tcPr>
            <w:tcW w:w="13575" w:type="dxa"/>
            <w:gridSpan w:val="10"/>
            <w:tcBorders>
              <w:bottom w:val="single" w:sz="4" w:space="0" w:color="auto"/>
            </w:tcBorders>
          </w:tcPr>
          <w:p w:rsidR="002C37B2" w:rsidRPr="00BD1638" w:rsidRDefault="002C37B2" w:rsidP="00BD659F">
            <w:pPr>
              <w:pStyle w:val="TableRow"/>
              <w:jc w:val="right"/>
              <w:rPr>
                <w:sz w:val="22"/>
                <w:szCs w:val="22"/>
              </w:rPr>
            </w:pPr>
            <w:r w:rsidRPr="00BD1638">
              <w:rPr>
                <w:b/>
                <w:sz w:val="22"/>
                <w:szCs w:val="22"/>
              </w:rPr>
              <w:t>Total pupil premium expenditure:</w:t>
            </w:r>
          </w:p>
        </w:tc>
        <w:tc>
          <w:tcPr>
            <w:tcW w:w="1134" w:type="dxa"/>
            <w:tcBorders>
              <w:bottom w:val="single" w:sz="4" w:space="0" w:color="auto"/>
            </w:tcBorders>
          </w:tcPr>
          <w:p w:rsidR="002C37B2" w:rsidRPr="00BD1638" w:rsidRDefault="002C37B2" w:rsidP="00937FA5">
            <w:pPr>
              <w:pStyle w:val="TableRow"/>
              <w:rPr>
                <w:sz w:val="22"/>
                <w:szCs w:val="22"/>
              </w:rPr>
            </w:pPr>
            <w:r w:rsidRPr="00BD1638">
              <w:rPr>
                <w:sz w:val="22"/>
                <w:szCs w:val="22"/>
              </w:rPr>
              <w:t>£</w:t>
            </w:r>
            <w:r w:rsidR="00937FA5">
              <w:rPr>
                <w:sz w:val="22"/>
                <w:szCs w:val="22"/>
              </w:rPr>
              <w:t>14,960</w:t>
            </w:r>
          </w:p>
        </w:tc>
      </w:tr>
      <w:tr w:rsidR="002C37B2" w:rsidRPr="00BD1638" w:rsidTr="00BD659F">
        <w:trPr>
          <w:trHeight w:val="413"/>
        </w:trPr>
        <w:tc>
          <w:tcPr>
            <w:tcW w:w="1275" w:type="dxa"/>
            <w:tcBorders>
              <w:left w:val="nil"/>
              <w:right w:val="nil"/>
            </w:tcBorders>
          </w:tcPr>
          <w:p w:rsidR="002C37B2" w:rsidRPr="00BD1638" w:rsidRDefault="002C37B2" w:rsidP="00BD659F">
            <w:pPr>
              <w:pStyle w:val="TableRow"/>
              <w:rPr>
                <w:sz w:val="22"/>
                <w:szCs w:val="22"/>
              </w:rPr>
            </w:pPr>
          </w:p>
        </w:tc>
        <w:tc>
          <w:tcPr>
            <w:tcW w:w="13434" w:type="dxa"/>
            <w:gridSpan w:val="10"/>
            <w:tcBorders>
              <w:left w:val="nil"/>
              <w:right w:val="nil"/>
            </w:tcBorders>
          </w:tcPr>
          <w:p w:rsidR="002C37B2" w:rsidRPr="00BD1638" w:rsidRDefault="002C37B2" w:rsidP="00BD659F">
            <w:pPr>
              <w:pStyle w:val="TableRow"/>
              <w:rPr>
                <w:sz w:val="22"/>
                <w:szCs w:val="22"/>
              </w:rPr>
            </w:pPr>
          </w:p>
        </w:tc>
      </w:tr>
      <w:tr w:rsidR="002C37B2" w:rsidRPr="00BD1638" w:rsidTr="00BD659F">
        <w:trPr>
          <w:trHeight w:val="413"/>
        </w:trPr>
        <w:tc>
          <w:tcPr>
            <w:tcW w:w="5070" w:type="dxa"/>
            <w:gridSpan w:val="4"/>
          </w:tcPr>
          <w:p w:rsidR="002C37B2" w:rsidRPr="00BD1638" w:rsidRDefault="002C37B2" w:rsidP="00DB659D">
            <w:pPr>
              <w:pStyle w:val="TableRow"/>
              <w:jc w:val="right"/>
              <w:rPr>
                <w:b/>
                <w:sz w:val="22"/>
                <w:szCs w:val="22"/>
              </w:rPr>
            </w:pPr>
            <w:r w:rsidRPr="00BD1638">
              <w:rPr>
                <w:b/>
                <w:sz w:val="22"/>
                <w:szCs w:val="22"/>
              </w:rPr>
              <w:t xml:space="preserve">Agreed date for </w:t>
            </w:r>
            <w:r w:rsidR="00DB659D">
              <w:rPr>
                <w:b/>
                <w:sz w:val="22"/>
                <w:szCs w:val="22"/>
              </w:rPr>
              <w:t>review</w:t>
            </w:r>
            <w:r w:rsidRPr="00BD1638">
              <w:rPr>
                <w:b/>
                <w:sz w:val="22"/>
                <w:szCs w:val="22"/>
              </w:rPr>
              <w:t>:</w:t>
            </w:r>
          </w:p>
        </w:tc>
        <w:tc>
          <w:tcPr>
            <w:tcW w:w="1417" w:type="dxa"/>
            <w:gridSpan w:val="2"/>
          </w:tcPr>
          <w:p w:rsidR="002C37B2" w:rsidRPr="00BD1638" w:rsidRDefault="00E773C7" w:rsidP="00BD659F">
            <w:pPr>
              <w:pStyle w:val="TableRow"/>
              <w:rPr>
                <w:b/>
                <w:sz w:val="22"/>
                <w:szCs w:val="22"/>
              </w:rPr>
            </w:pPr>
            <w:r>
              <w:rPr>
                <w:b/>
                <w:sz w:val="22"/>
                <w:szCs w:val="22"/>
              </w:rPr>
              <w:t>Mar</w:t>
            </w:r>
            <w:r w:rsidR="00A4082F">
              <w:rPr>
                <w:b/>
                <w:sz w:val="22"/>
                <w:szCs w:val="22"/>
              </w:rPr>
              <w:t xml:space="preserve"> </w:t>
            </w:r>
            <w:r w:rsidR="005174A8">
              <w:rPr>
                <w:b/>
                <w:sz w:val="22"/>
                <w:szCs w:val="22"/>
              </w:rPr>
              <w:t>2020</w:t>
            </w:r>
          </w:p>
        </w:tc>
        <w:tc>
          <w:tcPr>
            <w:tcW w:w="8222" w:type="dxa"/>
            <w:gridSpan w:val="5"/>
          </w:tcPr>
          <w:p w:rsidR="002C37B2" w:rsidRPr="00BD1638" w:rsidRDefault="002C37B2" w:rsidP="00BD659F">
            <w:pPr>
              <w:pStyle w:val="TableRow"/>
              <w:rPr>
                <w:b/>
                <w:sz w:val="22"/>
                <w:szCs w:val="22"/>
              </w:rPr>
            </w:pPr>
          </w:p>
        </w:tc>
      </w:tr>
    </w:tbl>
    <w:p w:rsidR="002C37B2" w:rsidRDefault="002C37B2" w:rsidP="002C37B2"/>
    <w:p w:rsidR="00C55418" w:rsidRDefault="00C55418"/>
    <w:sectPr w:rsidR="00C55418" w:rsidSect="00BD659F">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B2"/>
    <w:rsid w:val="00026997"/>
    <w:rsid w:val="000555D8"/>
    <w:rsid w:val="00137CA7"/>
    <w:rsid w:val="001409A7"/>
    <w:rsid w:val="0024505B"/>
    <w:rsid w:val="002C37B2"/>
    <w:rsid w:val="003D7F41"/>
    <w:rsid w:val="005174A8"/>
    <w:rsid w:val="00740FC6"/>
    <w:rsid w:val="00770BE5"/>
    <w:rsid w:val="007F4E70"/>
    <w:rsid w:val="00846BB5"/>
    <w:rsid w:val="00853C7C"/>
    <w:rsid w:val="00865244"/>
    <w:rsid w:val="00937FA5"/>
    <w:rsid w:val="00964A7A"/>
    <w:rsid w:val="00A4082F"/>
    <w:rsid w:val="00AC20ED"/>
    <w:rsid w:val="00B1702B"/>
    <w:rsid w:val="00BD659F"/>
    <w:rsid w:val="00BF34A9"/>
    <w:rsid w:val="00C15CD9"/>
    <w:rsid w:val="00C55418"/>
    <w:rsid w:val="00DB659D"/>
    <w:rsid w:val="00DC7170"/>
    <w:rsid w:val="00E773C7"/>
    <w:rsid w:val="00F728BE"/>
    <w:rsid w:val="00F910A9"/>
    <w:rsid w:val="00F91CF3"/>
    <w:rsid w:val="00FA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6901A-47FB-45DF-BFF3-1C7963D8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C37B2"/>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2C37B2"/>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B2"/>
    <w:rPr>
      <w:rFonts w:ascii="Arial" w:eastAsia="Times New Roman" w:hAnsi="Arial" w:cs="Times New Roman"/>
      <w:b/>
      <w:color w:val="104F75"/>
      <w:sz w:val="36"/>
      <w:szCs w:val="24"/>
      <w:lang w:eastAsia="en-GB"/>
    </w:rPr>
  </w:style>
  <w:style w:type="table" w:styleId="TableGrid">
    <w:name w:val="Table Grid"/>
    <w:basedOn w:val="TableNormal"/>
    <w:rsid w:val="002C37B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37B2"/>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2C37B2"/>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2C37B2"/>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DC7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70"/>
    <w:rPr>
      <w:rFonts w:ascii="Segoe UI" w:eastAsia="Times New Roman" w:hAnsi="Segoe UI" w:cs="Segoe UI"/>
      <w:color w:val="0D0D0D" w:themeColor="text1" w:themeTint="F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114">
      <w:bodyDiv w:val="1"/>
      <w:marLeft w:val="0"/>
      <w:marRight w:val="0"/>
      <w:marTop w:val="0"/>
      <w:marBottom w:val="0"/>
      <w:divBdr>
        <w:top w:val="none" w:sz="0" w:space="0" w:color="auto"/>
        <w:left w:val="none" w:sz="0" w:space="0" w:color="auto"/>
        <w:bottom w:val="none" w:sz="0" w:space="0" w:color="auto"/>
        <w:right w:val="none" w:sz="0" w:space="0" w:color="auto"/>
      </w:divBdr>
    </w:div>
    <w:div w:id="9343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Mary Magdalene Academy</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Shepherd</dc:creator>
  <cp:lastModifiedBy>Deborah Shepherd</cp:lastModifiedBy>
  <cp:revision>2</cp:revision>
  <cp:lastPrinted>2019-02-05T01:02:00Z</cp:lastPrinted>
  <dcterms:created xsi:type="dcterms:W3CDTF">2019-11-02T23:13:00Z</dcterms:created>
  <dcterms:modified xsi:type="dcterms:W3CDTF">2019-11-02T23:13:00Z</dcterms:modified>
</cp:coreProperties>
</file>